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91970">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pacing w:val="-20"/>
          <w:sz w:val="44"/>
          <w:szCs w:val="44"/>
          <w:lang w:val="en-US" w:eastAsia="zh-CN"/>
        </w:rPr>
      </w:pPr>
      <w:r>
        <w:rPr>
          <w:rFonts w:hint="eastAsia" w:ascii="方正小标宋简体" w:hAnsi="黑体" w:eastAsia="方正小标宋简体" w:cs="Times New Roman"/>
          <w:color w:val="000000"/>
          <w:spacing w:val="-20"/>
          <w:sz w:val="44"/>
          <w:szCs w:val="44"/>
          <w:lang w:val="en-US" w:eastAsia="zh-CN"/>
        </w:rPr>
        <w:t xml:space="preserve">宁波鄞州银行公益基金会专项基金管理办法 </w:t>
      </w:r>
    </w:p>
    <w:p w14:paraId="07C55095">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修订稿</w:t>
      </w:r>
      <w:r>
        <w:rPr>
          <w:rFonts w:hint="eastAsia" w:ascii="仿宋" w:hAnsi="仿宋" w:eastAsia="仿宋" w:cs="仿宋"/>
          <w:sz w:val="32"/>
          <w:szCs w:val="32"/>
        </w:rPr>
        <w:t>）</w:t>
      </w:r>
    </w:p>
    <w:p w14:paraId="0C3EF284">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32"/>
        </w:rPr>
      </w:pPr>
    </w:p>
    <w:p w14:paraId="688A8CF9">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第一章 总则</w:t>
      </w:r>
    </w:p>
    <w:p w14:paraId="6D4E2BFE">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第一条</w:t>
      </w:r>
      <w:r>
        <w:rPr>
          <w:rFonts w:hint="eastAsia" w:ascii="仿宋" w:hAnsi="仿宋" w:eastAsia="仿宋" w:cs="仿宋"/>
          <w:sz w:val="32"/>
          <w:szCs w:val="32"/>
          <w:lang w:val="en-US" w:eastAsia="zh-CN"/>
        </w:rPr>
        <w:t xml:space="preserve"> 为广泛动员社会力量，参与公益慈善事业，规范宁波鄞州银行公益基金会（以下简称：基金会）专项基金管理。根据《中华人民共和国慈善法》《中华人民共和国公益事业捐赠法》《基金会管理条例》《民政部关于进一步加强基金会专项基金管理工作的通知》等法律法规和基金会《章程》，特制订本办法。</w:t>
      </w:r>
    </w:p>
    <w:p w14:paraId="2CE48FB3">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第二条 </w:t>
      </w:r>
      <w:r>
        <w:rPr>
          <w:rFonts w:hint="eastAsia" w:ascii="仿宋" w:hAnsi="仿宋" w:eastAsia="仿宋" w:cs="仿宋"/>
          <w:sz w:val="32"/>
          <w:szCs w:val="32"/>
          <w:lang w:val="en-US" w:eastAsia="zh-CN"/>
        </w:rPr>
        <w:t>本办法所称“专项基金”是指以个人或机构支持符合基金会宗旨的公益事业为目的，符合基金会业务范围且在基金会下设的专项公益基金，专项基金按照发起人或捐赠人意愿，专款专用。</w:t>
      </w:r>
    </w:p>
    <w:p w14:paraId="0676DCCC">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基金会所属企业、家族等各类基金均适用本办法。</w:t>
      </w:r>
    </w:p>
    <w:p w14:paraId="7B766A63">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第三条 </w:t>
      </w:r>
      <w:r>
        <w:rPr>
          <w:rFonts w:hint="eastAsia" w:ascii="仿宋" w:hAnsi="仿宋" w:eastAsia="仿宋" w:cs="仿宋"/>
          <w:sz w:val="32"/>
          <w:szCs w:val="32"/>
          <w:lang w:val="en-US" w:eastAsia="zh-CN"/>
        </w:rPr>
        <w:t>基金会专项基金的管理遵循党建为先的管理机制，确保党的各项工作在专项基金的管理中全面延伸、有效覆盖，确保党建工作的政治核心作用。</w:t>
      </w:r>
    </w:p>
    <w:p w14:paraId="2AC1B5FD">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 xml:space="preserve">第四条 </w:t>
      </w:r>
      <w:r>
        <w:rPr>
          <w:rFonts w:hint="eastAsia" w:ascii="仿宋" w:hAnsi="仿宋" w:eastAsia="仿宋" w:cs="仿宋"/>
          <w:sz w:val="32"/>
          <w:szCs w:val="32"/>
          <w:lang w:val="en-US" w:eastAsia="zh-CN"/>
        </w:rPr>
        <w:t>专项基金是基金会内设基金，不具有独立法人资格。负责专项基金管理的管理委员会为非常设机构，接受基金会的统一管理。</w:t>
      </w:r>
    </w:p>
    <w:p w14:paraId="43AF278B">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仿宋" w:hAnsi="仿宋" w:eastAsia="仿宋" w:cs="仿宋"/>
          <w:sz w:val="32"/>
          <w:szCs w:val="32"/>
          <w:lang w:val="en-US" w:eastAsia="zh-CN"/>
        </w:rPr>
      </w:pPr>
    </w:p>
    <w:p w14:paraId="2091E5BC">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第二章 专项基金的设立</w:t>
      </w:r>
    </w:p>
    <w:p w14:paraId="62258B1B">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第五条</w:t>
      </w:r>
      <w:r>
        <w:rPr>
          <w:rFonts w:hint="eastAsia" w:ascii="仿宋" w:hAnsi="仿宋" w:eastAsia="仿宋" w:cs="仿宋"/>
          <w:sz w:val="32"/>
          <w:szCs w:val="32"/>
          <w:lang w:val="en-US" w:eastAsia="zh-CN"/>
        </w:rPr>
        <w:t xml:space="preserve"> 凡认同基金会的宗旨和理念，热心支持公益慈善事业发展的自然人、法人和其他组织均可向基金会申请设立或联合发起设立专项基金。</w:t>
      </w:r>
    </w:p>
    <w:p w14:paraId="1BF88E20">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专项基金由发起人一次或多次捐赠，有限定性捐赠方向和使用范围。专项基金在基金会监督下，由基金会与发起人共同运作管理。</w:t>
      </w:r>
    </w:p>
    <w:p w14:paraId="7D94E777">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专项基金不得以任何形式设立分支机构和下设基金。</w:t>
      </w:r>
    </w:p>
    <w:p w14:paraId="76E3EFA6">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第六条</w:t>
      </w:r>
      <w:r>
        <w:rPr>
          <w:rFonts w:hint="eastAsia" w:ascii="仿宋" w:hAnsi="仿宋" w:eastAsia="仿宋" w:cs="仿宋"/>
          <w:sz w:val="32"/>
          <w:szCs w:val="32"/>
          <w:lang w:val="en-US" w:eastAsia="zh-CN"/>
        </w:rPr>
        <w:t xml:space="preserve"> 设立专项基金的起始额度为人民币30万元，存续年限原则上不低于3年，存续期间专项基金账面余额原则上不低于5万元，捐赠人应保证专项基金的资金来源合法无争议。起始资金应在《专项基金设立协议》签署后5个工作日内到账，起始基金不到账的，不得进行公开宣传与运作。</w:t>
      </w:r>
    </w:p>
    <w:p w14:paraId="60006975">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第七条 </w:t>
      </w:r>
      <w:r>
        <w:rPr>
          <w:rFonts w:hint="eastAsia" w:ascii="仿宋" w:hAnsi="仿宋" w:eastAsia="仿宋" w:cs="仿宋"/>
          <w:sz w:val="32"/>
          <w:szCs w:val="32"/>
          <w:lang w:val="en-US" w:eastAsia="zh-CN"/>
        </w:rPr>
        <w:t>专项基金的设立和审批流程</w:t>
      </w:r>
    </w:p>
    <w:p w14:paraId="66B9F587">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（一）发起专项基金的发起人应按照基金会要求提交基金设立的相关支持材料。</w:t>
      </w:r>
    </w:p>
    <w:p w14:paraId="7F2A320A">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（二）专项基金申请材料经项目部初审，对发起人的社会信用、执行能力、资金合法性等进行审核。</w:t>
      </w:r>
    </w:p>
    <w:p w14:paraId="76F7F254">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（三）初审材料通过后，由项目部报秘书处审核，报理事长办公会议批准设立。批准部门主要就专项基金设立的必要性、运作可行性、管理可及性、风险可控性和责任可达性等进行审核。</w:t>
      </w:r>
    </w:p>
    <w:p w14:paraId="1927400F">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（四)专项基金设立审批通过后，基金会与发起人签署《专项基金设立协议》和《专项基金管理办法》，明确各方的权利义务。</w:t>
      </w:r>
    </w:p>
    <w:p w14:paraId="604FC5A6">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（五）捐赠资金入账后，项目部负责为新成立的专项基金建立档案，负责协调各职能部门配合专项基金各项工作的日常管理与服务，定期进行信息合规披露。</w:t>
      </w:r>
    </w:p>
    <w:p w14:paraId="4F37E8C2">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楷体" w:hAnsi="楷体" w:eastAsia="楷体" w:cs="楷体"/>
          <w:sz w:val="32"/>
          <w:szCs w:val="32"/>
          <w:lang w:val="en-US" w:eastAsia="zh-CN"/>
        </w:rPr>
        <w:t xml:space="preserve">第八条 </w:t>
      </w:r>
      <w:r>
        <w:rPr>
          <w:rFonts w:hint="eastAsia" w:ascii="仿宋" w:hAnsi="仿宋" w:eastAsia="仿宋" w:cs="仿宋"/>
          <w:sz w:val="32"/>
          <w:szCs w:val="32"/>
          <w:lang w:val="en-US" w:eastAsia="zh-CN"/>
        </w:rPr>
        <w:t>经平台批准设立的专项基金，基金发起人拥有该专项基金的冠名权。对外开展活动应当使用全名，名称由：“宁波鄞州银行公益基金会+字号名+公益（慈善）基金”组合而成。专项基金名称应使用符合国家规范的汉字，不得使用拼音字母、阿拉伯数字，不得冠以“中国”“中华”“全国”“国际”等字样，并遵从公序良俗和社会主义核心价值观。</w:t>
      </w:r>
    </w:p>
    <w:p w14:paraId="3D566635">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第九条 </w:t>
      </w:r>
      <w:r>
        <w:rPr>
          <w:rFonts w:hint="eastAsia" w:ascii="仿宋" w:hAnsi="仿宋" w:eastAsia="仿宋" w:cs="仿宋"/>
          <w:sz w:val="32"/>
          <w:szCs w:val="32"/>
          <w:lang w:val="en-US" w:eastAsia="zh-CN"/>
        </w:rPr>
        <w:t>发起人（或捐赠人）按照捐赠协议依法履行捐赠义务，逾期未依约支付或经协商仍拒不支付的，基金会依法保留专项基金终止、公示和诉讼权利。</w:t>
      </w:r>
    </w:p>
    <w:p w14:paraId="6FA133E7">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第十条 </w:t>
      </w:r>
      <w:r>
        <w:rPr>
          <w:rFonts w:hint="eastAsia" w:ascii="仿宋" w:hAnsi="仿宋" w:eastAsia="仿宋" w:cs="仿宋"/>
          <w:sz w:val="32"/>
          <w:szCs w:val="32"/>
          <w:lang w:val="en-US" w:eastAsia="zh-CN"/>
        </w:rPr>
        <w:t>《专项基金设立协议》内容包括但不限于：</w:t>
      </w:r>
    </w:p>
    <w:p w14:paraId="61452C9A">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（一）专项基金的名称宗旨、善款使用方向；</w:t>
      </w:r>
    </w:p>
    <w:p w14:paraId="42F429A3">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（二）发起方的捐赠数额和捐赠方式；</w:t>
      </w:r>
    </w:p>
    <w:p w14:paraId="471A4810">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（三）专项基金管理、使用的约定；</w:t>
      </w:r>
    </w:p>
    <w:p w14:paraId="18ACDFA9">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（四）专项基金会管委会的组成方式；</w:t>
      </w:r>
    </w:p>
    <w:p w14:paraId="1079BA4B">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（五）专项基金管理费用的提取比例；</w:t>
      </w:r>
    </w:p>
    <w:p w14:paraId="3C041290">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（六）各方的权利、义务；</w:t>
      </w:r>
    </w:p>
    <w:p w14:paraId="1113F2E5">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（七）其他需要约定的事项。</w:t>
      </w:r>
    </w:p>
    <w:p w14:paraId="5A51D183">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第十一条 </w:t>
      </w:r>
      <w:r>
        <w:rPr>
          <w:rFonts w:hint="eastAsia" w:ascii="仿宋" w:hAnsi="仿宋" w:eastAsia="仿宋" w:cs="仿宋"/>
          <w:sz w:val="32"/>
          <w:szCs w:val="32"/>
          <w:lang w:val="en-US" w:eastAsia="zh-CN"/>
        </w:rPr>
        <w:t>《专项基金管理办法》由基金会提供规范版本与发起人共同制定。基金会自行发起设立的专项基金，则由基金会制定。《专项基金管理办法》需明确专项基金的名称、宗旨、善款使用方向、资金来源、管理使用规范、终止条件和剩余财产的处理等条款。</w:t>
      </w:r>
    </w:p>
    <w:p w14:paraId="77A95BDA">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仿宋" w:hAnsi="仿宋" w:eastAsia="仿宋" w:cs="仿宋"/>
          <w:sz w:val="32"/>
          <w:szCs w:val="32"/>
          <w:lang w:val="en-US" w:eastAsia="zh-CN"/>
        </w:rPr>
      </w:pPr>
    </w:p>
    <w:p w14:paraId="55408741">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第三章  专项基金的管理</w:t>
      </w:r>
    </w:p>
    <w:p w14:paraId="472108D6">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第十二条 </w:t>
      </w:r>
      <w:r>
        <w:rPr>
          <w:rFonts w:hint="eastAsia" w:ascii="仿宋" w:hAnsi="仿宋" w:eastAsia="仿宋" w:cs="仿宋"/>
          <w:sz w:val="32"/>
          <w:szCs w:val="32"/>
          <w:lang w:val="en-US" w:eastAsia="zh-CN"/>
        </w:rPr>
        <w:t>专项基金设立后应组建基金管理委员会（以下简称：管委会），根据基金会有关规定及《专项基金管理办法》对基金进行管理，并接受基金会的统一管理。</w:t>
      </w:r>
    </w:p>
    <w:p w14:paraId="62FDB3A2">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管委会设主任和委员，成员一般3至5人，由基金会和发起人及捐赠人共同委派，具体人数和组成结构由双方具体商定。</w:t>
      </w:r>
    </w:p>
    <w:p w14:paraId="63E42B99">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管委会不得称具有误导公众为基金会负责人的称谓。</w:t>
      </w:r>
    </w:p>
    <w:p w14:paraId="6649EA9A">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p>
    <w:p w14:paraId="6C957580">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第十三条 </w:t>
      </w:r>
      <w:r>
        <w:rPr>
          <w:rFonts w:hint="eastAsia" w:ascii="仿宋" w:hAnsi="仿宋" w:eastAsia="仿宋" w:cs="仿宋"/>
          <w:sz w:val="32"/>
          <w:szCs w:val="32"/>
          <w:lang w:val="en-US" w:eastAsia="zh-CN"/>
        </w:rPr>
        <w:t>管委会的主要职责：</w:t>
      </w:r>
    </w:p>
    <w:p w14:paraId="309ED54C">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（一）制定、修改专项基金管理办法；</w:t>
      </w:r>
    </w:p>
    <w:p w14:paraId="5D8ABDB6">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（二）制定并决定公益活动计划，包括专项基金的募集、管理和使用计划；</w:t>
      </w:r>
    </w:p>
    <w:p w14:paraId="3E63BC32">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（三）审核决定具体资助项目和项目执行方的筛选、资助金额、资助形式等；</w:t>
      </w:r>
    </w:p>
    <w:p w14:paraId="4DF05873">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（四）讨论决定基金管理中的其他重大事项。</w:t>
      </w:r>
    </w:p>
    <w:p w14:paraId="225E3089">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第十四条 </w:t>
      </w:r>
      <w:r>
        <w:rPr>
          <w:rFonts w:hint="eastAsia" w:ascii="仿宋" w:hAnsi="仿宋" w:eastAsia="仿宋" w:cs="仿宋"/>
          <w:sz w:val="32"/>
          <w:szCs w:val="32"/>
          <w:lang w:val="en-US" w:eastAsia="zh-CN"/>
        </w:rPr>
        <w:t xml:space="preserve">管委会不定期召开会议，由管委会主任负责召集。 </w:t>
      </w:r>
    </w:p>
    <w:p w14:paraId="749A3984">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管委会做出决议，必须经管委会全体成员的2/3以上同意方能通过。</w:t>
      </w:r>
    </w:p>
    <w:p w14:paraId="617EDAC1">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管委会决议内容应有书面记录或纪要。</w:t>
      </w:r>
    </w:p>
    <w:p w14:paraId="1AD4F296">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第十五条 </w:t>
      </w:r>
      <w:r>
        <w:rPr>
          <w:rFonts w:hint="eastAsia" w:ascii="仿宋" w:hAnsi="仿宋" w:eastAsia="仿宋" w:cs="仿宋"/>
          <w:sz w:val="32"/>
          <w:szCs w:val="32"/>
          <w:lang w:val="en-US" w:eastAsia="zh-CN"/>
        </w:rPr>
        <w:t>管委会依据《专项基金设立协议》中约定的授权开展活动，不得私刻印章，不得开立银行账户。</w:t>
      </w:r>
    </w:p>
    <w:p w14:paraId="39A0857B">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第十六条 </w:t>
      </w:r>
      <w:r>
        <w:rPr>
          <w:rFonts w:hint="eastAsia" w:ascii="仿宋" w:hAnsi="仿宋" w:eastAsia="仿宋" w:cs="仿宋"/>
          <w:sz w:val="32"/>
          <w:szCs w:val="32"/>
          <w:lang w:val="en-US" w:eastAsia="zh-CN"/>
        </w:rPr>
        <w:t>管委会成员不得利用其关联关系损害专项基金、受益人的利益和社会公共利益，不得利用专项基金谋取商业利益，如因特殊情况涉及关联交易的，须依法进行信息公示。</w:t>
      </w:r>
    </w:p>
    <w:p w14:paraId="165E9BC3">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第十七条 </w:t>
      </w:r>
      <w:r>
        <w:rPr>
          <w:rFonts w:hint="eastAsia" w:ascii="仿宋" w:hAnsi="仿宋" w:eastAsia="仿宋" w:cs="仿宋"/>
          <w:sz w:val="32"/>
          <w:szCs w:val="32"/>
          <w:lang w:val="en-US" w:eastAsia="zh-CN"/>
        </w:rPr>
        <w:t>管委会成员均有权对基金管理、所资助项目的实施进行监督，并提出合理化建议。</w:t>
      </w:r>
    </w:p>
    <w:p w14:paraId="27C1A158">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第十八条 </w:t>
      </w:r>
      <w:r>
        <w:rPr>
          <w:rFonts w:hint="eastAsia" w:ascii="仿宋" w:hAnsi="仿宋" w:eastAsia="仿宋" w:cs="仿宋"/>
          <w:sz w:val="32"/>
          <w:szCs w:val="32"/>
          <w:lang w:val="en-US" w:eastAsia="zh-CN"/>
        </w:rPr>
        <w:t>基金会独立发起的专项基金不单独设立管委会，由基金会项目部参照专项基金管委会职责进行管理。</w:t>
      </w:r>
    </w:p>
    <w:p w14:paraId="62928047">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仿宋" w:hAnsi="仿宋" w:eastAsia="仿宋" w:cs="仿宋"/>
          <w:sz w:val="32"/>
          <w:szCs w:val="32"/>
          <w:lang w:val="en-US" w:eastAsia="zh-CN"/>
        </w:rPr>
      </w:pPr>
    </w:p>
    <w:p w14:paraId="605A326C">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第四章  专项基金的募集和使用</w:t>
      </w:r>
    </w:p>
    <w:p w14:paraId="2AA63BB9">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第十九条</w:t>
      </w:r>
      <w:r>
        <w:rPr>
          <w:rFonts w:hint="eastAsia" w:ascii="仿宋" w:hAnsi="仿宋" w:eastAsia="仿宋" w:cs="仿宋"/>
          <w:sz w:val="32"/>
          <w:szCs w:val="32"/>
          <w:lang w:val="en-US" w:eastAsia="zh-CN"/>
        </w:rPr>
        <w:t xml:space="preserve"> 专项基金的名誉和权益任何人不得侵害。</w:t>
      </w:r>
    </w:p>
    <w:p w14:paraId="6A233586">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第二十条 </w:t>
      </w:r>
      <w:r>
        <w:rPr>
          <w:rFonts w:hint="eastAsia" w:ascii="仿宋" w:hAnsi="仿宋" w:eastAsia="仿宋" w:cs="仿宋"/>
          <w:sz w:val="32"/>
          <w:szCs w:val="32"/>
          <w:lang w:val="en-US" w:eastAsia="zh-CN"/>
        </w:rPr>
        <w:t>基金会对专项基金的使用进行全过程管理，专项基金的使用必须遵守国家相关法律法规和基金会章程、财务管理制度、信息公示制度、项目管理制度等相关制度，在协议约定的范围内进行公益项目的开展或资助，专项基金的使用应高效、规范，具有积极的社会效应。</w:t>
      </w:r>
    </w:p>
    <w:p w14:paraId="704BB7F7">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第二十一条</w:t>
      </w:r>
      <w:r>
        <w:rPr>
          <w:rFonts w:hint="eastAsia" w:ascii="仿宋" w:hAnsi="仿宋" w:eastAsia="仿宋" w:cs="仿宋"/>
          <w:sz w:val="32"/>
          <w:szCs w:val="32"/>
          <w:lang w:val="en-US" w:eastAsia="zh-CN"/>
        </w:rPr>
        <w:t xml:space="preserve"> 专项基金管委会负责人应积极履行职责，包括且不限于牵头制定年度项目及预算计划，负责该计划项目的落实和执行，对项目的实施和善款的募集、使用情况进行公示和反馈等。</w:t>
      </w:r>
    </w:p>
    <w:p w14:paraId="549871A2">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第二十二条 </w:t>
      </w:r>
      <w:r>
        <w:rPr>
          <w:rFonts w:hint="eastAsia" w:ascii="仿宋" w:hAnsi="仿宋" w:eastAsia="仿宋" w:cs="仿宋"/>
          <w:sz w:val="32"/>
          <w:szCs w:val="32"/>
          <w:lang w:val="en-US" w:eastAsia="zh-CN"/>
        </w:rPr>
        <w:t>专项基金的募集、支出、资金保值增值活动产生的投资收益及其他收入由基金会建账管理，资金不得进入其他单位、组织或个人账户，非现金资产捐赠需履行入库验收手续，不得直接使用和擅自流通。专项基金的支出需符合基金宗旨。</w:t>
      </w:r>
    </w:p>
    <w:p w14:paraId="393BDB67">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第二十三条 </w:t>
      </w:r>
      <w:r>
        <w:rPr>
          <w:rFonts w:hint="eastAsia" w:ascii="仿宋" w:hAnsi="仿宋" w:eastAsia="仿宋" w:cs="仿宋"/>
          <w:sz w:val="32"/>
          <w:szCs w:val="32"/>
          <w:lang w:val="en-US" w:eastAsia="zh-CN"/>
        </w:rPr>
        <w:t>专项基金的募集：</w:t>
      </w:r>
    </w:p>
    <w:p w14:paraId="5F8DFF76">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（一）基金会下设的专项基金，不得以独立组织的名义开展募捐、与其他组织和个人签订协议或开展其他活动。</w:t>
      </w:r>
    </w:p>
    <w:p w14:paraId="35707245">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(二）专项基金对外开展宣传、募款等相关活动，均需冠以全称，即“宁波鄞州银行公益基金会**公益基金”，品牌logo露出方案需提交基金会审核。</w:t>
      </w:r>
    </w:p>
    <w:p w14:paraId="466BD747">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 xml:space="preserve">第二十四条 </w:t>
      </w:r>
      <w:r>
        <w:rPr>
          <w:rFonts w:hint="eastAsia" w:ascii="仿宋" w:hAnsi="仿宋" w:eastAsia="仿宋" w:cs="仿宋"/>
          <w:sz w:val="32"/>
          <w:szCs w:val="32"/>
          <w:lang w:val="en-US" w:eastAsia="zh-CN"/>
        </w:rPr>
        <w:t>专项基金实行动态管理，及时核算该专项基金余额。每年年度审计后，基金会通过年报、官网公示专项基金收支情况。</w:t>
      </w:r>
    </w:p>
    <w:p w14:paraId="73BD3D48">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第二十五条</w:t>
      </w:r>
      <w:r>
        <w:rPr>
          <w:rFonts w:hint="eastAsia" w:ascii="仿宋" w:hAnsi="仿宋" w:eastAsia="仿宋" w:cs="仿宋"/>
          <w:sz w:val="32"/>
          <w:szCs w:val="32"/>
          <w:lang w:val="en-US" w:eastAsia="zh-CN"/>
        </w:rPr>
        <w:t xml:space="preserve"> 专项基金的管理费用和公益项目支出。</w:t>
      </w:r>
    </w:p>
    <w:p w14:paraId="08AB9513">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（一）为实现基金会的可持续发展，基金会依照《中华人民共和国慈善法》“年度管理费用不得超过当年总支出的10%”的规定，酌情收取管理费。具体比例按《专项基金设立协议》约定为准。</w:t>
      </w:r>
    </w:p>
    <w:p w14:paraId="79655031">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（二）专项基金开展慈善活动的年度支出，依照《中华人民共和国慈善法》规范要求执行。年度捐赠和筹款金额较大的专项基金，年度公益支出比例可在基金会总支出范围内进行协商、调剂。</w:t>
      </w:r>
    </w:p>
    <w:p w14:paraId="5AC91389">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（三）专项基金支出时应填写《专项基金支出申请表》，经管委会主任审批签字后，按项目支出流程申请支出。</w:t>
      </w:r>
    </w:p>
    <w:p w14:paraId="094BAC58">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第二十六条</w:t>
      </w:r>
      <w:r>
        <w:rPr>
          <w:rFonts w:hint="eastAsia" w:ascii="仿宋" w:hAnsi="仿宋" w:eastAsia="仿宋" w:cs="仿宋"/>
          <w:sz w:val="32"/>
          <w:szCs w:val="32"/>
          <w:lang w:val="en-US" w:eastAsia="zh-CN"/>
        </w:rPr>
        <w:t xml:space="preserve"> 专项基金管理费用也可由捐赠人另行捐赠。相关事项应在捐赠协议中予以约定。</w:t>
      </w:r>
    </w:p>
    <w:p w14:paraId="1F6C8BDA">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p>
    <w:p w14:paraId="7DBDC2B0">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第五章 专项基金的监督</w:t>
      </w:r>
    </w:p>
    <w:p w14:paraId="6D2A0F55">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第二十七条</w:t>
      </w:r>
      <w:r>
        <w:rPr>
          <w:rFonts w:hint="eastAsia" w:ascii="仿宋" w:hAnsi="仿宋" w:eastAsia="仿宋" w:cs="仿宋"/>
          <w:sz w:val="32"/>
          <w:szCs w:val="32"/>
          <w:lang w:val="en-US" w:eastAsia="zh-CN"/>
        </w:rPr>
        <w:t xml:space="preserve"> 基金会应建立健全专项基金风险防范和处置机制，依照有关法律法规、登记管理机关和理事会的要求，对专项基金的相关信息，通过民政部统一信息平台、年度工作报告、内审报告等形式进行信息公示，接受公众监督。</w:t>
      </w:r>
    </w:p>
    <w:p w14:paraId="4A0BE030">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第二十八条</w:t>
      </w:r>
      <w:r>
        <w:rPr>
          <w:rFonts w:hint="eastAsia" w:ascii="仿宋" w:hAnsi="仿宋" w:eastAsia="仿宋" w:cs="仿宋"/>
          <w:sz w:val="32"/>
          <w:szCs w:val="32"/>
          <w:lang w:val="en-US" w:eastAsia="zh-CN"/>
        </w:rPr>
        <w:t xml:space="preserve"> 基金会依法对专项基金财务状况进行会计核算，建立健全内部会计监督制度。基金会有义务接受税务、会计等部门依法实施的税务、会计等方面的监督。</w:t>
      </w:r>
    </w:p>
    <w:p w14:paraId="5B060368">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第二十九条</w:t>
      </w:r>
      <w:r>
        <w:rPr>
          <w:rFonts w:hint="eastAsia" w:ascii="仿宋" w:hAnsi="仿宋" w:eastAsia="仿宋" w:cs="仿宋"/>
          <w:sz w:val="32"/>
          <w:szCs w:val="32"/>
          <w:lang w:val="en-US" w:eastAsia="zh-CN"/>
        </w:rPr>
        <w:t xml:space="preserve"> 专项基金的捐赠人有权向基金会查询捐赠资金使用、管理情况，并提出意见和建议。专项基金管理人应在接到问询时及时作出回应，并根据实际情况予以答复。</w:t>
      </w:r>
    </w:p>
    <w:p w14:paraId="0B8EB946">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第三十条</w:t>
      </w:r>
      <w:r>
        <w:rPr>
          <w:rFonts w:hint="eastAsia" w:ascii="仿宋" w:hAnsi="仿宋" w:eastAsia="仿宋" w:cs="仿宋"/>
          <w:sz w:val="32"/>
          <w:szCs w:val="32"/>
          <w:lang w:val="en-US" w:eastAsia="zh-CN"/>
        </w:rPr>
        <w:t xml:space="preserve"> 秘书处是专项基金风险管理的负责人，及时化解专项基金管理和使用过程中的各类潜在风险。</w:t>
      </w:r>
    </w:p>
    <w:p w14:paraId="22CC57EA">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仿宋" w:hAnsi="仿宋" w:eastAsia="仿宋" w:cs="仿宋"/>
          <w:sz w:val="32"/>
          <w:szCs w:val="32"/>
          <w:lang w:val="en-US" w:eastAsia="zh-CN"/>
        </w:rPr>
      </w:pPr>
    </w:p>
    <w:p w14:paraId="53F3F7EF">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第六章  专项基金的整改与终止</w:t>
      </w:r>
    </w:p>
    <w:p w14:paraId="78A61F71">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第三十一条</w:t>
      </w:r>
      <w:r>
        <w:rPr>
          <w:rFonts w:hint="eastAsia" w:ascii="仿宋" w:hAnsi="仿宋" w:eastAsia="仿宋" w:cs="仿宋"/>
          <w:sz w:val="32"/>
          <w:szCs w:val="32"/>
          <w:lang w:val="en-US" w:eastAsia="zh-CN"/>
        </w:rPr>
        <w:t xml:space="preserve"> 项目部每年末对基金的运作情况进行总结和评估，上报秘书处审议。对业务活动不足、管理不善、公益效果不明显的基金，应与基金管委会及时沟通，并协助其及时整改。</w:t>
      </w:r>
    </w:p>
    <w:p w14:paraId="6ADE4ADF">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第三十二条</w:t>
      </w:r>
      <w:r>
        <w:rPr>
          <w:rFonts w:hint="eastAsia" w:ascii="仿宋" w:hAnsi="仿宋" w:eastAsia="仿宋" w:cs="仿宋"/>
          <w:sz w:val="32"/>
          <w:szCs w:val="32"/>
          <w:lang w:val="en-US" w:eastAsia="zh-CN"/>
        </w:rPr>
        <w:t xml:space="preserve"> 专项基金有下列情形之一的，基金会有权终止该专项基金：</w:t>
      </w:r>
    </w:p>
    <w:p w14:paraId="26D11184">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（一）所支持的公益项目已终止或专项基金使命已完成；</w:t>
      </w:r>
    </w:p>
    <w:p w14:paraId="60DFEFE9">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（二）项目、活动执行或善款筹募期间出现违反法律法规和违反基金会相关管理制度的；</w:t>
      </w:r>
    </w:p>
    <w:p w14:paraId="04D76EBC">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（三）拒不接受基金会整改要求，继续违反相关规定开展相关活动的；</w:t>
      </w:r>
    </w:p>
    <w:p w14:paraId="6D0B1D49">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（四）专项基金账户年度余额低于5万元，且发起人无续捐计划的；</w:t>
      </w:r>
    </w:p>
    <w:p w14:paraId="56644829">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（五）其他需终止专项基金的情况。</w:t>
      </w:r>
    </w:p>
    <w:p w14:paraId="04E32C9E">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第三十三条</w:t>
      </w:r>
      <w:r>
        <w:rPr>
          <w:rFonts w:hint="eastAsia" w:ascii="仿宋" w:hAnsi="仿宋" w:eastAsia="仿宋" w:cs="仿宋"/>
          <w:sz w:val="32"/>
          <w:szCs w:val="32"/>
          <w:lang w:val="en-US" w:eastAsia="zh-CN"/>
        </w:rPr>
        <w:t xml:space="preserve"> 对于有设立期限的专项基金，基金管委会应于设立期限到期前3个月提交专项基金延续申请。</w:t>
      </w:r>
    </w:p>
    <w:p w14:paraId="0829CC38">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第三十四条</w:t>
      </w:r>
      <w:r>
        <w:rPr>
          <w:rFonts w:hint="eastAsia" w:ascii="仿宋" w:hAnsi="仿宋" w:eastAsia="仿宋" w:cs="仿宋"/>
          <w:sz w:val="32"/>
          <w:szCs w:val="32"/>
          <w:lang w:val="en-US" w:eastAsia="zh-CN"/>
        </w:rPr>
        <w:t xml:space="preserve"> 专项基金如需要终止的，应至少提前1个月告知基金会，经秘书处审议通过后，项目部协助基金管委会处理基金终止事项。</w:t>
      </w:r>
    </w:p>
    <w:p w14:paraId="5799DFB0">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第三十五条</w:t>
      </w:r>
      <w:r>
        <w:rPr>
          <w:rFonts w:hint="eastAsia" w:ascii="仿宋" w:hAnsi="仿宋" w:eastAsia="仿宋" w:cs="仿宋"/>
          <w:sz w:val="32"/>
          <w:szCs w:val="32"/>
          <w:lang w:val="en-US" w:eastAsia="zh-CN"/>
        </w:rPr>
        <w:t xml:space="preserve"> 专项基金终止后，若有需要，可协商成立清算小组进行清算，清算后基金剩余部分，按基金管理办法相关规定处理并报秘书处审核后提交理事长办公会议批准，相关信息按照国家相关规定进行信息公示。</w:t>
      </w:r>
    </w:p>
    <w:p w14:paraId="0BF05FE2">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auto"/>
        <w:rPr>
          <w:rFonts w:hint="eastAsia" w:ascii="仿宋" w:hAnsi="仿宋" w:eastAsia="仿宋" w:cs="仿宋"/>
          <w:sz w:val="32"/>
          <w:szCs w:val="32"/>
          <w:lang w:val="en-US" w:eastAsia="zh-CN"/>
        </w:rPr>
      </w:pPr>
    </w:p>
    <w:p w14:paraId="00E5A329">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第七章  附则</w:t>
      </w:r>
    </w:p>
    <w:p w14:paraId="2708A853">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第三十六条</w:t>
      </w:r>
      <w:r>
        <w:rPr>
          <w:rFonts w:hint="eastAsia" w:ascii="仿宋" w:hAnsi="仿宋" w:eastAsia="仿宋" w:cs="仿宋"/>
          <w:sz w:val="32"/>
          <w:szCs w:val="32"/>
          <w:lang w:val="en-US" w:eastAsia="zh-CN"/>
        </w:rPr>
        <w:t xml:space="preserve"> 本办法由宁波鄞州银行公益基金会制定、</w:t>
      </w:r>
      <w:bookmarkStart w:id="0" w:name="_GoBack"/>
      <w:bookmarkEnd w:id="0"/>
      <w:r>
        <w:rPr>
          <w:rFonts w:hint="eastAsia" w:ascii="仿宋" w:hAnsi="仿宋" w:eastAsia="仿宋" w:cs="仿宋"/>
          <w:sz w:val="32"/>
          <w:szCs w:val="32"/>
          <w:lang w:val="en-US" w:eastAsia="zh-CN"/>
        </w:rPr>
        <w:t>修改、解释，与国家相关规定冲突的，按国家相关规定执行。</w:t>
      </w:r>
    </w:p>
    <w:p w14:paraId="67018A62">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第三十七条</w:t>
      </w:r>
      <w:r>
        <w:rPr>
          <w:rFonts w:hint="eastAsia" w:ascii="仿宋" w:hAnsi="仿宋" w:eastAsia="仿宋" w:cs="仿宋"/>
          <w:sz w:val="32"/>
          <w:szCs w:val="32"/>
          <w:lang w:val="en-US" w:eastAsia="zh-CN"/>
        </w:rPr>
        <w:t xml:space="preserve"> 本办法自理事会审议通过后，自颁布之日起施行。</w:t>
      </w:r>
    </w:p>
    <w:p w14:paraId="571DF50E">
      <w:pPr>
        <w:keepNext w:val="0"/>
        <w:keepLines w:val="0"/>
        <w:pageBreakBefore w:val="0"/>
        <w:widowControl/>
        <w:suppressLineNumbers w:val="0"/>
        <w:kinsoku/>
        <w:wordWrap/>
        <w:overflowPunct/>
        <w:topLinePunct w:val="0"/>
        <w:autoSpaceDE/>
        <w:autoSpaceDN/>
        <w:bidi w:val="0"/>
        <w:adjustRightInd/>
        <w:snapToGrid/>
        <w:spacing w:line="540" w:lineRule="exact"/>
        <w:ind w:firstLine="640" w:firstLineChars="200"/>
        <w:jc w:val="left"/>
        <w:textAlignment w:val="auto"/>
        <w:rPr>
          <w:rFonts w:hint="eastAsia" w:ascii="仿宋" w:hAnsi="仿宋" w:eastAsia="仿宋" w:cs="仿宋"/>
          <w:sz w:val="32"/>
          <w:szCs w:val="32"/>
          <w:lang w:val="en-US" w:eastAsia="zh-CN"/>
        </w:rPr>
      </w:pPr>
    </w:p>
    <w:p w14:paraId="6D3A504A">
      <w:pPr>
        <w:keepNext w:val="0"/>
        <w:keepLines w:val="0"/>
        <w:pageBreakBefore w:val="0"/>
        <w:widowControl/>
        <w:suppressLineNumbers w:val="0"/>
        <w:kinsoku/>
        <w:wordWrap/>
        <w:overflowPunct/>
        <w:topLinePunct w:val="0"/>
        <w:autoSpaceDE/>
        <w:autoSpaceDN/>
        <w:bidi w:val="0"/>
        <w:adjustRightInd/>
        <w:snapToGrid/>
        <w:spacing w:line="540" w:lineRule="exact"/>
        <w:ind w:firstLine="320" w:firstLineChars="100"/>
        <w:jc w:val="righ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宁波鄞州银行公益基金会  </w:t>
      </w:r>
    </w:p>
    <w:p w14:paraId="30CCFE4E">
      <w:pPr>
        <w:keepNext w:val="0"/>
        <w:keepLines w:val="0"/>
        <w:pageBreakBefore w:val="0"/>
        <w:widowControl/>
        <w:suppressLineNumbers w:val="0"/>
        <w:kinsoku/>
        <w:wordWrap/>
        <w:overflowPunct/>
        <w:topLinePunct w:val="0"/>
        <w:autoSpaceDE/>
        <w:autoSpaceDN/>
        <w:bidi w:val="0"/>
        <w:adjustRightInd/>
        <w:snapToGrid/>
        <w:spacing w:line="540" w:lineRule="exact"/>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                   二〇二五年三月二十五日</w:t>
      </w:r>
    </w:p>
    <w:p w14:paraId="3D3796ED"/>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Helvetica Neue">
    <w:altName w:val="Times New Roman"/>
    <w:panose1 w:val="00000000000000000000"/>
    <w:charset w:val="00"/>
    <w:family w:val="roman"/>
    <w:pitch w:val="default"/>
    <w:sig w:usb0="00000000" w:usb1="00000000" w:usb2="00000000" w:usb3="00000000" w:csb0="00000000" w:csb1="00000000"/>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264928">
    <w:pPr>
      <w:pStyle w:val="5"/>
      <w:framePr w:wrap="auto" w:vAnchor="margin" w:hAnchor="text" w:yAlign="inline"/>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3F06D">
    <w:pPr>
      <w:pStyle w:val="4"/>
      <w:framePr w:wrap="auto" w:vAnchor="margin" w:hAnchor="text" w:yAlign="inline"/>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447FDF"/>
    <w:rsid w:val="2F447F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楷体_GB2312" w:cs="Times New Roman"/>
      <w:kern w:val="2"/>
      <w:sz w:val="28"/>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页眉与页脚"/>
    <w:qFormat/>
    <w:uiPriority w:val="0"/>
    <w:pPr>
      <w:keepNext w:val="0"/>
      <w:keepLines w:val="0"/>
      <w:pageBreakBefore w:val="0"/>
      <w:framePr w:wrap="auto" w:vAnchor="margin" w:hAnchor="text" w:yAlign="inline"/>
      <w:widowControl/>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right" w:pos="9020"/>
      </w:tabs>
      <w:suppressAutoHyphens w:val="0"/>
      <w:bidi w:val="0"/>
      <w:spacing w:before="0" w:beforeAutospacing="0" w:after="0" w:afterAutospacing="0" w:line="240" w:lineRule="auto"/>
      <w:ind w:left="0" w:right="0" w:firstLine="0"/>
      <w:jc w:val="left"/>
      <w:outlineLvl w:val="9"/>
    </w:pPr>
    <w:rPr>
      <w:rFonts w:ascii="Helvetica Neue" w:hAnsi="Helvetica Neue" w:eastAsia="Arial Unicode MS" w:cs="Arial Unicode MS"/>
      <w:color w:val="000000"/>
      <w:spacing w:val="0"/>
      <w:w w:val="100"/>
      <w:kern w:val="0"/>
      <w:position w:val="0"/>
      <w:sz w:val="24"/>
      <w:szCs w:val="24"/>
      <w:u w:val="none" w:color="auto"/>
      <w:vertAlign w:val="baseline"/>
    </w:rPr>
  </w:style>
  <w:style w:type="paragraph" w:customStyle="1" w:styleId="5">
    <w:name w:val="页脚1"/>
    <w:qFormat/>
    <w:uiPriority w:val="0"/>
    <w:pPr>
      <w:keepNext w:val="0"/>
      <w:keepLines w:val="0"/>
      <w:pageBreakBefore w:val="0"/>
      <w:framePr w:wrap="auto" w:vAnchor="margin" w:hAnchor="text" w:yAlign="inline"/>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hd w:val="clear" w:color="auto" w:fill="auto"/>
      <w:tabs>
        <w:tab w:val="center" w:pos="4153"/>
        <w:tab w:val="right" w:pos="8306"/>
      </w:tabs>
      <w:suppressAutoHyphens w:val="0"/>
      <w:bidi w:val="0"/>
      <w:spacing w:before="0" w:beforeAutospacing="0" w:after="0" w:afterAutospacing="0" w:line="240" w:lineRule="auto"/>
      <w:ind w:left="0" w:right="0" w:firstLine="0"/>
      <w:jc w:val="left"/>
      <w:outlineLvl w:val="9"/>
    </w:pPr>
    <w:rPr>
      <w:rFonts w:hint="default" w:ascii="Times New Roman" w:hAnsi="Times New Roman" w:eastAsia="Arial Unicode MS" w:cs="Arial Unicode MS"/>
      <w:color w:val="000000"/>
      <w:spacing w:val="0"/>
      <w:w w:val="100"/>
      <w:kern w:val="2"/>
      <w:position w:val="0"/>
      <w:sz w:val="18"/>
      <w:szCs w:val="18"/>
      <w:u w:val="none" w:color="000000"/>
      <w:vertAlign w:val="baseline"/>
      <w:lang w:val="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2025-05-08T07:32:00Z</dcterms:created>
  <dc:creator>Shirley</dc:creator>
  <cp:lastModifiedBy>Shirley</cp:lastModifiedBy>
  <dcterms:modified xsi:type="dcterms:W3CDTF">2025-05-08T07:34:30Z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F93BA320880B47C0967349E1A00BD258_11</vt:lpwstr>
  </property>
  <property fmtid="{D5CDD505-2E9C-101B-9397-08002B2CF9AE}" pid="4" name="KSOTemplateDocerSaveRecord">
    <vt:lpwstr>eyJoZGlkIjoiMjc5YTc4NzdjZjBmNjNiNzViNWM2MTBkODZjM2RkZGUiLCJ1c2VySWQiOiI2NzEwMTA3ODUifQ==</vt:lpwstr>
  </property>
</Properties>
</file>