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C9EEB9">
      <w:pPr>
        <w:spacing w:line="640" w:lineRule="exact"/>
        <w:jc w:val="center"/>
        <w:outlineLvl w:val="0"/>
        <w:rPr>
          <w:rFonts w:hint="eastAsia" w:ascii="方正小标宋简体" w:hAnsi="黑体" w:eastAsia="方正小标宋简体" w:cs="Times New Roman"/>
          <w:color w:val="000000"/>
          <w:sz w:val="44"/>
          <w:szCs w:val="44"/>
        </w:rPr>
      </w:pPr>
      <w:r>
        <w:rPr>
          <w:rFonts w:hint="eastAsia" w:ascii="方正小标宋简体" w:hAnsi="黑体" w:eastAsia="方正小标宋简体" w:cs="Times New Roman"/>
          <w:color w:val="000000"/>
          <w:sz w:val="44"/>
          <w:szCs w:val="44"/>
          <w:lang w:val="en-US" w:eastAsia="zh-CN"/>
        </w:rPr>
        <w:t>宁波鄞州银行公益基金会人事管理办法</w:t>
      </w:r>
    </w:p>
    <w:p w14:paraId="7A195309">
      <w:pPr>
        <w:keepNext w:val="0"/>
        <w:keepLines w:val="0"/>
        <w:widowControl/>
        <w:suppressLineNumbers w:val="0"/>
        <w:jc w:val="center"/>
        <w:rPr>
          <w:rFonts w:hint="eastAsia" w:ascii="仿宋" w:hAnsi="仿宋" w:eastAsia="仿宋" w:cs="仿宋"/>
          <w:b w:val="0"/>
          <w:bCs w:val="0"/>
          <w:color w:val="000000"/>
          <w:kern w:val="0"/>
          <w:sz w:val="32"/>
          <w:szCs w:val="32"/>
          <w:lang w:val="en-US" w:eastAsia="zh-CN" w:bidi="ar"/>
        </w:rPr>
      </w:pPr>
      <w:r>
        <w:rPr>
          <w:rFonts w:hint="eastAsia" w:ascii="仿宋" w:hAnsi="仿宋" w:eastAsia="仿宋" w:cs="仿宋"/>
          <w:b w:val="0"/>
          <w:bCs w:val="0"/>
          <w:color w:val="000000"/>
          <w:kern w:val="0"/>
          <w:sz w:val="32"/>
          <w:szCs w:val="32"/>
          <w:lang w:val="en-US" w:eastAsia="zh-CN" w:bidi="ar"/>
        </w:rPr>
        <w:t>（修订稿）</w:t>
      </w:r>
    </w:p>
    <w:p w14:paraId="12761409">
      <w:pPr>
        <w:pageBreakBefore w:val="0"/>
        <w:kinsoku/>
        <w:overflowPunct/>
        <w:topLinePunct w:val="0"/>
        <w:autoSpaceDE/>
        <w:autoSpaceDN/>
        <w:bidi w:val="0"/>
        <w:adjustRightInd/>
        <w:snapToGrid/>
        <w:spacing w:line="560" w:lineRule="exact"/>
        <w:jc w:val="center"/>
        <w:textAlignment w:val="auto"/>
        <w:rPr>
          <w:rFonts w:hint="eastAsia" w:ascii="黑体" w:hAnsi="黑体" w:eastAsia="黑体" w:cs="Times New Roman"/>
          <w:color w:val="000000"/>
          <w:sz w:val="32"/>
          <w:szCs w:val="32"/>
          <w:lang w:val="en-US" w:eastAsia="zh-CN"/>
        </w:rPr>
      </w:pPr>
      <w:r>
        <w:rPr>
          <w:rFonts w:hint="eastAsia" w:ascii="黑体" w:hAnsi="黑体" w:eastAsia="黑体" w:cs="Times New Roman"/>
          <w:color w:val="000000"/>
          <w:sz w:val="32"/>
          <w:szCs w:val="32"/>
          <w:lang w:val="en-US" w:eastAsia="zh-CN"/>
        </w:rPr>
        <w:t>第一章 总 则</w:t>
      </w:r>
    </w:p>
    <w:p w14:paraId="3B92BB8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rPr>
      </w:pPr>
      <w:r>
        <w:rPr>
          <w:rFonts w:hint="eastAsia" w:ascii="楷体_GB2312" w:hAnsi="Times New Roman" w:eastAsia="楷体_GB2312" w:cs="Times New Roman"/>
          <w:color w:val="000000"/>
          <w:sz w:val="32"/>
          <w:szCs w:val="32"/>
          <w:lang w:val="en-US" w:eastAsia="zh-CN"/>
        </w:rPr>
        <w:t>第一条</w:t>
      </w:r>
      <w:r>
        <w:rPr>
          <w:rFonts w:hint="eastAsia" w:ascii="仿宋_GB2312" w:hAnsi="Times New Roman" w:eastAsia="仿宋_GB2312" w:cs="Times New Roman"/>
          <w:sz w:val="32"/>
          <w:szCs w:val="32"/>
          <w:lang w:val="en-US" w:eastAsia="zh-CN"/>
        </w:rPr>
        <w:t xml:space="preserve"> 本办法是宁波鄞州银行公益基金会（以下简称</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基金会）根据中华人民共和国劳动法、劳动合同法及有关法律汇编而成的，适用于</w:t>
      </w:r>
      <w:r>
        <w:rPr>
          <w:rFonts w:hint="eastAsia" w:ascii="仿宋_GB2312" w:eastAsia="仿宋_GB2312" w:cs="Times New Roman"/>
          <w:sz w:val="32"/>
          <w:szCs w:val="32"/>
          <w:lang w:val="en-US" w:eastAsia="zh-CN"/>
        </w:rPr>
        <w:t>所有直接</w:t>
      </w:r>
      <w:r>
        <w:rPr>
          <w:rFonts w:hint="eastAsia" w:ascii="仿宋_GB2312" w:hAnsi="Times New Roman" w:eastAsia="仿宋_GB2312" w:cs="Times New Roman"/>
          <w:sz w:val="32"/>
          <w:szCs w:val="32"/>
          <w:lang w:val="en-US" w:eastAsia="zh-CN"/>
        </w:rPr>
        <w:t>由基金会聘用形式录用的工作人员。</w:t>
      </w:r>
    </w:p>
    <w:p w14:paraId="3137BE34">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 xml:space="preserve">第二条 </w:t>
      </w:r>
      <w:r>
        <w:rPr>
          <w:rFonts w:hint="eastAsia" w:ascii="仿宋_GB2312" w:hAnsi="Times New Roman" w:eastAsia="仿宋_GB2312" w:cs="Times New Roman"/>
          <w:sz w:val="32"/>
          <w:szCs w:val="32"/>
          <w:lang w:val="en-US" w:eastAsia="zh-CN"/>
        </w:rPr>
        <w:t>本办法连同员工的劳动合同，阐释了员工受</w:t>
      </w:r>
      <w:r>
        <w:rPr>
          <w:rFonts w:hint="eastAsia" w:ascii="仿宋_GB2312" w:eastAsia="仿宋_GB2312" w:cs="Times New Roman"/>
          <w:sz w:val="32"/>
          <w:szCs w:val="32"/>
          <w:lang w:val="en-US" w:eastAsia="zh-CN"/>
        </w:rPr>
        <w:t>聘</w:t>
      </w:r>
      <w:r>
        <w:rPr>
          <w:rFonts w:hint="eastAsia" w:ascii="仿宋_GB2312" w:hAnsi="Times New Roman" w:eastAsia="仿宋_GB2312" w:cs="Times New Roman"/>
          <w:sz w:val="32"/>
          <w:szCs w:val="32"/>
          <w:lang w:val="en-US" w:eastAsia="zh-CN"/>
        </w:rPr>
        <w:t>的条件，包括宁波鄞州银行公益基金会的行为准则和文化约束，管理政策、福利信息。</w:t>
      </w:r>
    </w:p>
    <w:p w14:paraId="2C956823">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 xml:space="preserve">第三条 </w:t>
      </w:r>
      <w:r>
        <w:rPr>
          <w:rFonts w:hint="eastAsia" w:ascii="仿宋_GB2312" w:hAnsi="Times New Roman" w:eastAsia="仿宋_GB2312" w:cs="Times New Roman"/>
          <w:sz w:val="32"/>
          <w:szCs w:val="32"/>
          <w:lang w:val="en-US" w:eastAsia="zh-CN"/>
        </w:rPr>
        <w:t xml:space="preserve">人事管理实行分级管理原则 </w:t>
      </w:r>
    </w:p>
    <w:p w14:paraId="515131F0">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（一）理事会确定基金会的组织架构并对理事长、秘书长及各部门的人事管理职责和权限进行分工及授权。</w:t>
      </w:r>
    </w:p>
    <w:p w14:paraId="574429F0">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（二）秘书长根据基金会的长、短期战略目标制定人事长、短期发展规划，并结合年度目标制定当年的用人、培训需求和人事配置，经理事长办公会议审议通过后执行。</w:t>
      </w:r>
    </w:p>
    <w:p w14:paraId="5C480D7A">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三）各部门负责人负责编制岗位职责，明确岗位任职要求，包括教育背景、工作经验、素质能力等具体要求，经综合部核准后，报理事长办公会议审批，作为基金会进行各岗位人员配置、培训、晋级及绩效评估的主要依据。</w:t>
      </w:r>
    </w:p>
    <w:p w14:paraId="204BFF65">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（四）综合部负责劳动合同的签订和存档、员工社保、公积金的办理和年检、每月工资造册和节假日福利发</w:t>
      </w:r>
      <w:r>
        <w:rPr>
          <w:rFonts w:hint="eastAsia" w:ascii="仿宋_GB2312" w:eastAsia="仿宋_GB2312" w:cs="Times New Roman"/>
          <w:sz w:val="32"/>
          <w:szCs w:val="32"/>
          <w:lang w:val="en-US" w:eastAsia="zh-CN"/>
        </w:rPr>
        <w:t>放</w:t>
      </w:r>
      <w:r>
        <w:rPr>
          <w:rFonts w:hint="eastAsia" w:ascii="仿宋_GB2312" w:hAnsi="Times New Roman" w:eastAsia="仿宋_GB2312" w:cs="Times New Roman"/>
          <w:sz w:val="32"/>
          <w:szCs w:val="32"/>
          <w:lang w:val="en-US" w:eastAsia="zh-CN"/>
        </w:rPr>
        <w:t>等日常事务，以及人事战略策划、内外部人事招聘、培训、考核和人才储备等。</w:t>
      </w:r>
    </w:p>
    <w:p w14:paraId="1A745D45">
      <w:pPr>
        <w:pageBreakBefore w:val="0"/>
        <w:kinsoku/>
        <w:overflowPunct/>
        <w:topLinePunct w:val="0"/>
        <w:autoSpaceDE/>
        <w:autoSpaceDN/>
        <w:bidi w:val="0"/>
        <w:adjustRightInd/>
        <w:snapToGrid/>
        <w:spacing w:line="560" w:lineRule="exact"/>
        <w:jc w:val="center"/>
        <w:textAlignment w:val="auto"/>
        <w:rPr>
          <w:rFonts w:hint="eastAsia" w:ascii="黑体" w:hAnsi="黑体" w:eastAsia="黑体" w:cs="Times New Roman"/>
          <w:color w:val="000000"/>
          <w:sz w:val="32"/>
          <w:szCs w:val="32"/>
          <w:lang w:val="en-US" w:eastAsia="zh-CN"/>
        </w:rPr>
      </w:pPr>
      <w:r>
        <w:rPr>
          <w:rFonts w:hint="eastAsia" w:ascii="黑体" w:hAnsi="黑体" w:eastAsia="黑体" w:cs="Times New Roman"/>
          <w:color w:val="000000"/>
          <w:sz w:val="32"/>
          <w:szCs w:val="32"/>
          <w:lang w:val="en-US" w:eastAsia="zh-CN"/>
        </w:rPr>
        <w:t>第二章 人事管理</w:t>
      </w:r>
    </w:p>
    <w:p w14:paraId="3278C6AA">
      <w:pPr>
        <w:pageBreakBefore w:val="0"/>
        <w:kinsoku/>
        <w:overflowPunct/>
        <w:topLinePunct w:val="0"/>
        <w:autoSpaceDE/>
        <w:autoSpaceDN/>
        <w:bidi w:val="0"/>
        <w:adjustRightInd/>
        <w:snapToGrid/>
        <w:spacing w:line="560" w:lineRule="exact"/>
        <w:jc w:val="center"/>
        <w:textAlignment w:val="auto"/>
        <w:rPr>
          <w:rFonts w:hint="default" w:ascii="楷体_GB2312" w:hAnsi="Times New Roman" w:eastAsia="楷体_GB2312" w:cs="Times New Roman"/>
          <w:color w:val="000000"/>
          <w:sz w:val="32"/>
          <w:szCs w:val="32"/>
          <w:lang w:val="en-US" w:eastAsia="zh-CN"/>
        </w:rPr>
      </w:pPr>
      <w:r>
        <w:rPr>
          <w:rFonts w:hint="eastAsia" w:ascii="楷体_GB2312" w:hAnsi="Times New Roman" w:eastAsia="楷体_GB2312" w:cs="Times New Roman"/>
          <w:color w:val="000000"/>
          <w:sz w:val="32"/>
          <w:szCs w:val="32"/>
          <w:lang w:val="en-US" w:eastAsia="zh-CN"/>
        </w:rPr>
        <w:t>第一节 招 聘</w:t>
      </w:r>
    </w:p>
    <w:p w14:paraId="06636281">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第四条</w:t>
      </w:r>
      <w:r>
        <w:rPr>
          <w:rFonts w:hint="eastAsia" w:ascii="仿宋_GB2312" w:hAnsi="Times New Roman" w:eastAsia="仿宋_GB2312" w:cs="Times New Roman"/>
          <w:sz w:val="32"/>
          <w:szCs w:val="32"/>
          <w:lang w:val="en-US" w:eastAsia="zh-CN"/>
        </w:rPr>
        <w:t xml:space="preserve"> 基金会空缺岗位需求，一律公开条件，在基金会内部甄选或对社会公开招聘。招聘工作由综合部统筹。</w:t>
      </w:r>
    </w:p>
    <w:p w14:paraId="085AF6EA">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第五条</w:t>
      </w:r>
      <w:r>
        <w:rPr>
          <w:rFonts w:hint="eastAsia" w:ascii="仿宋_GB2312" w:hAnsi="Times New Roman" w:eastAsia="仿宋_GB2312" w:cs="Times New Roman"/>
          <w:sz w:val="32"/>
          <w:szCs w:val="32"/>
          <w:lang w:val="en-US" w:eastAsia="zh-CN"/>
        </w:rPr>
        <w:t xml:space="preserve"> 基金会聘用的员工以品德、学识、能力、经验、体格适合于职务或工作者。</w:t>
      </w:r>
    </w:p>
    <w:p w14:paraId="2D0ACC02">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第六条</w:t>
      </w:r>
      <w:r>
        <w:rPr>
          <w:rFonts w:hint="eastAsia" w:ascii="仿宋_GB2312" w:hAnsi="Times New Roman" w:eastAsia="仿宋_GB2312" w:cs="Times New Roman"/>
          <w:sz w:val="32"/>
          <w:szCs w:val="32"/>
          <w:lang w:val="en-US" w:eastAsia="zh-CN"/>
        </w:rPr>
        <w:t xml:space="preserve"> 基金会录用人员提供给基金会的应聘登记表（见附件1）、伦理道德守则声明（见附件2）、身份证件、学历证书、工作履历、健康状况等材料真实、有效，不存在造假情况。</w:t>
      </w:r>
    </w:p>
    <w:p w14:paraId="60B6BB59">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第七条</w:t>
      </w:r>
      <w:r>
        <w:rPr>
          <w:rFonts w:hint="eastAsia" w:ascii="仿宋_GB2312" w:hAnsi="Times New Roman" w:eastAsia="仿宋_GB2312" w:cs="Times New Roman"/>
          <w:sz w:val="32"/>
          <w:szCs w:val="32"/>
          <w:lang w:val="en-US" w:eastAsia="zh-CN"/>
        </w:rPr>
        <w:t xml:space="preserve">  招聘流程</w:t>
      </w:r>
    </w:p>
    <w:p w14:paraId="1C54184E">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（一）综合部负责撰写招聘信息，并通过各种渠道发布招聘需求，收集简历。</w:t>
      </w:r>
    </w:p>
    <w:p w14:paraId="19C4A0B0">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（二）简历筛选后，由综合部会同用人部门根据需求组织笔试、面试。</w:t>
      </w:r>
    </w:p>
    <w:p w14:paraId="621BD241">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（三）面试时，需告知应聘者基金会招聘流程的一致性、公正性和客观性原则。</w:t>
      </w:r>
    </w:p>
    <w:p w14:paraId="13CD4411">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（四）综合部负责对应聘人进行相关背景调查。</w:t>
      </w:r>
    </w:p>
    <w:p w14:paraId="51D01636">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（五）秘书长或理事长组织对应聘者进行复试，并根据复试结果做出最终用人决策。</w:t>
      </w:r>
    </w:p>
    <w:p w14:paraId="5D97DE63">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（六）秘书长的招聘，由理事长提出拟聘人选，理事会聘任;</w:t>
      </w:r>
    </w:p>
    <w:p w14:paraId="4B2752B8">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（七）副秘书长以下中层干部由秘书长提出拟聘人选，理事长办公会议讨论聘用。</w:t>
      </w:r>
    </w:p>
    <w:p w14:paraId="74517272">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（八）一般员工聘用由综合部根据员工招聘计划实施。</w:t>
      </w:r>
    </w:p>
    <w:p w14:paraId="21266B0A">
      <w:pPr>
        <w:keepNext w:val="0"/>
        <w:keepLines w:val="0"/>
        <w:pageBreakBefore w:val="0"/>
        <w:widowControl/>
        <w:suppressLineNumbers w:val="0"/>
        <w:kinsoku/>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kern w:val="0"/>
          <w:sz w:val="28"/>
          <w:szCs w:val="28"/>
          <w:lang w:val="en-US" w:eastAsia="zh-CN" w:bidi="ar"/>
        </w:rPr>
      </w:pPr>
    </w:p>
    <w:p w14:paraId="607545B2">
      <w:pPr>
        <w:pageBreakBefore w:val="0"/>
        <w:kinsoku/>
        <w:overflowPunct/>
        <w:topLinePunct w:val="0"/>
        <w:autoSpaceDE/>
        <w:autoSpaceDN/>
        <w:bidi w:val="0"/>
        <w:adjustRightInd/>
        <w:snapToGrid/>
        <w:spacing w:line="560" w:lineRule="exact"/>
        <w:jc w:val="center"/>
        <w:textAlignment w:val="auto"/>
        <w:rPr>
          <w:rFonts w:hint="eastAsia" w:ascii="楷体_GB2312" w:hAnsi="Times New Roman" w:eastAsia="楷体_GB2312" w:cs="Times New Roman"/>
          <w:color w:val="000000"/>
          <w:sz w:val="32"/>
          <w:szCs w:val="32"/>
          <w:lang w:val="en-US" w:eastAsia="zh-CN"/>
        </w:rPr>
      </w:pPr>
      <w:r>
        <w:rPr>
          <w:rFonts w:hint="eastAsia" w:ascii="楷体_GB2312" w:hAnsi="Times New Roman" w:eastAsia="楷体_GB2312" w:cs="Times New Roman"/>
          <w:color w:val="000000"/>
          <w:sz w:val="32"/>
          <w:szCs w:val="32"/>
          <w:lang w:val="en-US" w:eastAsia="zh-CN"/>
        </w:rPr>
        <w:t>第二节 劳动合同</w:t>
      </w:r>
    </w:p>
    <w:p w14:paraId="6BAA1588">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第八条</w:t>
      </w:r>
      <w:r>
        <w:rPr>
          <w:rFonts w:hint="eastAsia" w:ascii="仿宋_GB2312" w:hAnsi="Times New Roman" w:eastAsia="仿宋_GB2312" w:cs="Times New Roman"/>
          <w:sz w:val="32"/>
          <w:szCs w:val="32"/>
          <w:lang w:val="en-US" w:eastAsia="zh-CN"/>
        </w:rPr>
        <w:t xml:space="preserve"> 劳动合同订立</w:t>
      </w:r>
    </w:p>
    <w:p w14:paraId="31421176">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一</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新招聘员工入职手续办理完毕后，与基金会签订书面劳动合同，劳动合同签订前双方需协商一致。</w:t>
      </w:r>
    </w:p>
    <w:p w14:paraId="01C81DED">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（二</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订立劳动合同文本应使用基金会统一印制的劳动合同文本，自双方签订之日起生效，基金会与员工双方各执壹份。</w:t>
      </w:r>
    </w:p>
    <w:p w14:paraId="701C445C">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第九条</w:t>
      </w:r>
      <w:r>
        <w:rPr>
          <w:rFonts w:hint="eastAsia" w:ascii="仿宋_GB2312" w:hAnsi="Times New Roman" w:eastAsia="仿宋_GB2312" w:cs="Times New Roman"/>
          <w:sz w:val="32"/>
          <w:szCs w:val="32"/>
          <w:lang w:val="en-US" w:eastAsia="zh-CN"/>
        </w:rPr>
        <w:t xml:space="preserve"> 劳动合同续签</w:t>
      </w:r>
    </w:p>
    <w:p w14:paraId="79CD1B7E">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一</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劳动合同期满后，根据基金会发展需求、员工综合工作表现等，经双方协商一致，可以续订劳动合同。</w:t>
      </w:r>
    </w:p>
    <w:p w14:paraId="1263DC05">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二</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如决定不再续约，员工将在合同期满前1个月收到书面通知。如员工决定不与基金会续约，须遵循辞职程序，并根据合同条款提前1个月通知。</w:t>
      </w:r>
    </w:p>
    <w:p w14:paraId="5BE8418B">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第十条</w:t>
      </w:r>
      <w:r>
        <w:rPr>
          <w:rFonts w:hint="eastAsia" w:ascii="仿宋_GB2312" w:hAnsi="Times New Roman" w:eastAsia="仿宋_GB2312" w:cs="Times New Roman"/>
          <w:sz w:val="32"/>
          <w:szCs w:val="32"/>
          <w:lang w:val="en-US" w:eastAsia="zh-CN"/>
        </w:rPr>
        <w:t xml:space="preserve"> 劳动合同期限</w:t>
      </w:r>
    </w:p>
    <w:p w14:paraId="2F74E9D9">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一</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基金会所有员工第一次签订劳动合同期限为3年，试用期为3个月。</w:t>
      </w:r>
    </w:p>
    <w:p w14:paraId="2083E5BD">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二</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第二次续签劳动合同为3年，第3次续签劳动合同按国家法律规定且双方协商一致，可选择续签无固定期限劳动合同。</w:t>
      </w:r>
    </w:p>
    <w:p w14:paraId="3D21D901">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第十一条</w:t>
      </w:r>
      <w:r>
        <w:rPr>
          <w:rFonts w:hint="eastAsia" w:ascii="仿宋_GB2312" w:hAnsi="Times New Roman" w:eastAsia="仿宋_GB2312" w:cs="Times New Roman"/>
          <w:sz w:val="32"/>
          <w:szCs w:val="32"/>
          <w:lang w:val="en-US" w:eastAsia="zh-CN"/>
        </w:rPr>
        <w:t xml:space="preserve"> 劳动合同解除</w:t>
      </w:r>
    </w:p>
    <w:p w14:paraId="1AB5A892">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一</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 xml:space="preserve">基金会与员工协商一致，劳动合同可以解除。 </w:t>
      </w:r>
    </w:p>
    <w:p w14:paraId="507B26A3">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二</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员工有下列情形之一的，基金会可以提前30日以书面形式通知员工解除劳动合同：</w:t>
      </w:r>
    </w:p>
    <w:p w14:paraId="4304BE92">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1</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员工患病或者非因工负伤，医疗期满后，不能从事原工作也不能从事由基金会另行安排的工作的；</w:t>
      </w:r>
    </w:p>
    <w:p w14:paraId="519AD2EE">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2</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员工不能胜任工作，经过培训、调整工作岗位后仍不能胜任工作的；</w:t>
      </w:r>
    </w:p>
    <w:p w14:paraId="310B3A78">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3</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劳动合同订立时所依据的客观情况发生重大变化，致使原劳动合同无法履行，经双方协商不能就变更劳动合同达成一致的。</w:t>
      </w:r>
    </w:p>
    <w:p w14:paraId="2FFA5393">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三</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 xml:space="preserve">员工有下列情形之一的，基金会可以随时解除劳动合同： </w:t>
      </w:r>
    </w:p>
    <w:p w14:paraId="74D36156">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1</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 xml:space="preserve">在试用期间被证明不符合录用条件的； </w:t>
      </w:r>
    </w:p>
    <w:p w14:paraId="356A7EF7">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2</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员工不能胜任安排的岗位工作或者不能按照规定完成工作任务的；</w:t>
      </w:r>
    </w:p>
    <w:p w14:paraId="4FE553EE">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3</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员工伪造、虚报学历、学位，技术技能、职称证书，杜撰工作经历、资历，经查证属实的；</w:t>
      </w:r>
    </w:p>
    <w:p w14:paraId="2AA6D078">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4</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 xml:space="preserve">员工隐瞒疾病，身体健康状况不能从事本岗工作； </w:t>
      </w:r>
    </w:p>
    <w:p w14:paraId="4E40783F">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5</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 xml:space="preserve">员工有不良嗜好或者不良习气，影响基金会形象的； </w:t>
      </w:r>
    </w:p>
    <w:p w14:paraId="5910673E">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6</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 xml:space="preserve">员工品行不端正，其他违反社会公序良俗的行为； </w:t>
      </w:r>
    </w:p>
    <w:p w14:paraId="792E0CAC">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7</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员工屡次违反基金会劳动纪律、规章制度的；</w:t>
      </w:r>
    </w:p>
    <w:p w14:paraId="65EF90C0">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8</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 xml:space="preserve">被依法追究刑事责任的，法律、法规规定的其他情形。 </w:t>
      </w:r>
    </w:p>
    <w:p w14:paraId="6F53A948">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四</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有《劳动法》及《劳动合同法》规定之不可解除劳动关系情的，遵照法律规定。</w:t>
      </w:r>
    </w:p>
    <w:p w14:paraId="6F758C31">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第十二条</w:t>
      </w:r>
      <w:r>
        <w:rPr>
          <w:rFonts w:hint="eastAsia" w:ascii="仿宋_GB2312" w:hAnsi="Times New Roman" w:eastAsia="仿宋_GB2312" w:cs="Times New Roman"/>
          <w:sz w:val="32"/>
          <w:szCs w:val="32"/>
          <w:lang w:val="en-US" w:eastAsia="zh-CN"/>
        </w:rPr>
        <w:t xml:space="preserve"> 劳动合同终止</w:t>
      </w:r>
    </w:p>
    <w:p w14:paraId="5E5AC0CC">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一</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劳动合同期满后或者双方约定的劳动合同终止条件出现的，劳动合同自行终止。</w:t>
      </w:r>
    </w:p>
    <w:p w14:paraId="066D1A1B">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二</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劳动者患职业病、因工负伤，被确认为部分丧失劳动能力或者完全丧失劳动能力，基金会按照规定支付伤残就业补助金的，或经协商一致，劳动合同可以终止。</w:t>
      </w:r>
    </w:p>
    <w:p w14:paraId="4D4EF3B7">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三</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基金会提出终止劳动关系，应当提前30日通知员工。基金会应出具解除或终止劳动合同关系的有效证明，并协助员工办理失业保险登记手续。</w:t>
      </w:r>
    </w:p>
    <w:p w14:paraId="35DF6ED6">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p>
    <w:p w14:paraId="1B792540">
      <w:pPr>
        <w:pageBreakBefore w:val="0"/>
        <w:kinsoku/>
        <w:overflowPunct/>
        <w:topLinePunct w:val="0"/>
        <w:autoSpaceDE/>
        <w:autoSpaceDN/>
        <w:bidi w:val="0"/>
        <w:adjustRightInd/>
        <w:snapToGrid/>
        <w:spacing w:line="560" w:lineRule="exact"/>
        <w:jc w:val="center"/>
        <w:textAlignment w:val="auto"/>
      </w:pPr>
      <w:r>
        <w:rPr>
          <w:rFonts w:hint="eastAsia" w:ascii="楷体_GB2312" w:hAnsi="Times New Roman" w:eastAsia="楷体_GB2312" w:cs="Times New Roman"/>
          <w:color w:val="000000"/>
          <w:sz w:val="32"/>
          <w:szCs w:val="32"/>
          <w:lang w:val="en-US" w:eastAsia="zh-CN"/>
        </w:rPr>
        <w:t>第三节 试 用</w:t>
      </w:r>
    </w:p>
    <w:p w14:paraId="6ECC5F57">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 xml:space="preserve">第十三条 </w:t>
      </w:r>
      <w:r>
        <w:rPr>
          <w:rFonts w:hint="eastAsia" w:ascii="仿宋_GB2312" w:hAnsi="Times New Roman" w:eastAsia="仿宋_GB2312" w:cs="Times New Roman"/>
          <w:sz w:val="32"/>
          <w:szCs w:val="32"/>
          <w:lang w:val="en-US" w:eastAsia="zh-CN"/>
        </w:rPr>
        <w:t>在签订劳动合同前，应告知应聘者本基金会试用期为3个月，如因工作需要免除或缩短试用期，需经秘书长批准。</w:t>
      </w:r>
    </w:p>
    <w:p w14:paraId="37310866">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第十四条</w:t>
      </w:r>
      <w:r>
        <w:rPr>
          <w:rFonts w:hint="eastAsia" w:ascii="仿宋_GB2312" w:hAnsi="Times New Roman" w:eastAsia="仿宋_GB2312" w:cs="Times New Roman"/>
          <w:sz w:val="32"/>
          <w:szCs w:val="32"/>
          <w:lang w:val="en-US" w:eastAsia="zh-CN"/>
        </w:rPr>
        <w:t xml:space="preserve"> 员工试用期可以分为新进试用、转岗试用、晋升试用等；</w:t>
      </w:r>
    </w:p>
    <w:p w14:paraId="208EFAAF">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第十五条</w:t>
      </w:r>
      <w:r>
        <w:rPr>
          <w:rFonts w:hint="eastAsia" w:ascii="仿宋_GB2312" w:hAnsi="Times New Roman" w:eastAsia="仿宋_GB2312" w:cs="Times New Roman"/>
          <w:sz w:val="32"/>
          <w:szCs w:val="32"/>
          <w:lang w:val="en-US" w:eastAsia="zh-CN"/>
        </w:rPr>
        <w:t xml:space="preserve"> 新进试用：</w:t>
      </w:r>
    </w:p>
    <w:p w14:paraId="51E904B3">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1</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综合部根据国家规定给新进员工（试用期内）签订劳动合同并办理五险一金等。劳动合同约定试用期满合格，方可录用为正式员工。</w:t>
      </w:r>
    </w:p>
    <w:p w14:paraId="5AF8833B">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2.新员工试用期间薪酬待遇，根据《宁波鄞州银行公益基金会薪酬管理办法》中相关条款执行。</w:t>
      </w:r>
    </w:p>
    <w:p w14:paraId="1E176163">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3</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新员工试用期间按基金会考勤管理规定出勤，可以请事假和病假，试用期按请假天数顺延。</w:t>
      </w:r>
    </w:p>
    <w:p w14:paraId="2029917E">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第十六条</w:t>
      </w:r>
      <w:r>
        <w:rPr>
          <w:rFonts w:hint="eastAsia" w:ascii="仿宋_GB2312" w:hAnsi="Times New Roman" w:eastAsia="仿宋_GB2312" w:cs="Times New Roman"/>
          <w:sz w:val="32"/>
          <w:szCs w:val="32"/>
          <w:lang w:val="en-US" w:eastAsia="zh-CN"/>
        </w:rPr>
        <w:t xml:space="preserve"> 转岗试用：</w:t>
      </w:r>
    </w:p>
    <w:p w14:paraId="7C6454DE">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因工作需要调整工作岗位的员工，为考察其在新岗位的适应性，经双方协商可约定试用期，试用期为1至3个月，试用期间薪资按原岗位薪资执行。</w:t>
      </w:r>
    </w:p>
    <w:p w14:paraId="3487084A">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第十七条</w:t>
      </w:r>
      <w:r>
        <w:rPr>
          <w:rFonts w:hint="eastAsia" w:ascii="仿宋_GB2312" w:hAnsi="Times New Roman" w:eastAsia="仿宋_GB2312" w:cs="Times New Roman"/>
          <w:sz w:val="32"/>
          <w:szCs w:val="32"/>
          <w:lang w:val="en-US" w:eastAsia="zh-CN"/>
        </w:rPr>
        <w:t xml:space="preserve"> 晋升试用：</w:t>
      </w:r>
    </w:p>
    <w:p w14:paraId="51848366">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因工作表现优秀晋升的员工，为考察其胜任新岗位的情况，经双方协商可约定试用期，试用期为一至三个月，试用期薪资按新岗位薪资的0.8系数执行，试用通过后补发0.2系数。</w:t>
      </w:r>
    </w:p>
    <w:p w14:paraId="29EAEEB1">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第十八条</w:t>
      </w:r>
      <w:r>
        <w:rPr>
          <w:rFonts w:hint="eastAsia" w:ascii="仿宋_GB2312" w:hAnsi="Times New Roman" w:eastAsia="仿宋_GB2312" w:cs="Times New Roman"/>
          <w:sz w:val="32"/>
          <w:szCs w:val="32"/>
          <w:lang w:val="en-US" w:eastAsia="zh-CN"/>
        </w:rPr>
        <w:t xml:space="preserve"> 试用考核</w:t>
      </w:r>
    </w:p>
    <w:p w14:paraId="1ABC5F6E">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1.用人部门负责人根据员工在试用期的表现进行客观评估，并向秘书处反馈用人意见。</w:t>
      </w:r>
    </w:p>
    <w:p w14:paraId="69224BB8">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2.秘书长根据部门反馈进行审批，决定“聘用、调整、终止试用、辞退”等。</w:t>
      </w:r>
    </w:p>
    <w:p w14:paraId="0940CD8D">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第十九条</w:t>
      </w:r>
      <w:r>
        <w:rPr>
          <w:rFonts w:hint="eastAsia" w:ascii="仿宋_GB2312" w:hAnsi="Times New Roman" w:eastAsia="仿宋_GB2312" w:cs="Times New Roman"/>
          <w:sz w:val="32"/>
          <w:szCs w:val="32"/>
          <w:lang w:val="en-US" w:eastAsia="zh-CN"/>
        </w:rPr>
        <w:t xml:space="preserve"> 提前结束试用期</w:t>
      </w:r>
    </w:p>
    <w:p w14:paraId="7051C3EC">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1.在试用期间，对业务素质、技能、工作适应能力及工作成效特别出色的员工，试用部门负责人可以提前结束试用期，并报秘书长批准。</w:t>
      </w:r>
    </w:p>
    <w:p w14:paraId="6437FF31">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2.员工在试用期内若有各种原因而不适合岗位工作者，由员工所在部门或秘书长提出建议，基金会可随时调整其试用岗位或终止与其的试用关系。</w:t>
      </w:r>
    </w:p>
    <w:p w14:paraId="3A9C5378">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p>
    <w:p w14:paraId="4FE87811">
      <w:pPr>
        <w:pageBreakBefore w:val="0"/>
        <w:kinsoku/>
        <w:overflowPunct/>
        <w:topLinePunct w:val="0"/>
        <w:autoSpaceDE/>
        <w:autoSpaceDN/>
        <w:bidi w:val="0"/>
        <w:adjustRightInd/>
        <w:snapToGrid/>
        <w:spacing w:line="560" w:lineRule="exact"/>
        <w:jc w:val="center"/>
        <w:textAlignment w:val="auto"/>
        <w:rPr>
          <w:rFonts w:hint="eastAsia" w:ascii="楷体_GB2312" w:hAnsi="Times New Roman" w:eastAsia="楷体_GB2312" w:cs="Times New Roman"/>
          <w:color w:val="000000"/>
          <w:sz w:val="32"/>
          <w:szCs w:val="32"/>
          <w:lang w:val="en-US" w:eastAsia="zh-CN"/>
        </w:rPr>
      </w:pPr>
      <w:r>
        <w:rPr>
          <w:rFonts w:hint="eastAsia" w:ascii="楷体_GB2312" w:hAnsi="Times New Roman" w:eastAsia="楷体_GB2312" w:cs="Times New Roman"/>
          <w:color w:val="000000"/>
          <w:sz w:val="32"/>
          <w:szCs w:val="32"/>
          <w:lang w:val="en-US" w:eastAsia="zh-CN"/>
        </w:rPr>
        <w:t>第四节 异 动</w:t>
      </w:r>
    </w:p>
    <w:p w14:paraId="1321FD8A">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第二十条</w:t>
      </w:r>
      <w:r>
        <w:rPr>
          <w:rFonts w:hint="eastAsia" w:ascii="仿宋_GB2312" w:hAnsi="Times New Roman" w:eastAsia="仿宋_GB2312" w:cs="Times New Roman"/>
          <w:sz w:val="32"/>
          <w:szCs w:val="32"/>
          <w:lang w:val="en-US" w:eastAsia="zh-CN"/>
        </w:rPr>
        <w:t xml:space="preserve"> 人事异动情况包括离/停职、调换岗位、晋职晋级。 </w:t>
      </w:r>
    </w:p>
    <w:p w14:paraId="21AE6FA1">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第二十一条</w:t>
      </w:r>
      <w:r>
        <w:rPr>
          <w:rFonts w:hint="eastAsia" w:ascii="仿宋_GB2312" w:hAnsi="Times New Roman" w:eastAsia="仿宋_GB2312" w:cs="Times New Roman"/>
          <w:sz w:val="32"/>
          <w:szCs w:val="32"/>
          <w:lang w:val="en-US" w:eastAsia="zh-CN"/>
        </w:rPr>
        <w:t xml:space="preserve"> 当岗位发生变动时，应办理工作交接手续。交接双方填写工作交接清单，并由直属上级审核签字。</w:t>
      </w:r>
    </w:p>
    <w:p w14:paraId="18C47962">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 xml:space="preserve">第二十二条 </w:t>
      </w:r>
      <w:r>
        <w:rPr>
          <w:rFonts w:hint="eastAsia" w:ascii="仿宋_GB2312" w:hAnsi="Times New Roman" w:eastAsia="仿宋_GB2312" w:cs="Times New Roman"/>
          <w:sz w:val="32"/>
          <w:szCs w:val="32"/>
          <w:lang w:val="en-US" w:eastAsia="zh-CN"/>
        </w:rPr>
        <w:t>交接手续的内容及范围包括但不限于：</w:t>
      </w:r>
    </w:p>
    <w:p w14:paraId="61529BE7">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一</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 xml:space="preserve">已办事项纸质档案、电子档案； </w:t>
      </w:r>
    </w:p>
    <w:p w14:paraId="66C2D8E2">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二</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 xml:space="preserve">未办及未了事项； </w:t>
      </w:r>
    </w:p>
    <w:p w14:paraId="73A5B138">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三</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 xml:space="preserve">直属之财物及事务； </w:t>
      </w:r>
    </w:p>
    <w:p w14:paraId="44726969">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四</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 xml:space="preserve">合作方清单及联系方式； </w:t>
      </w:r>
    </w:p>
    <w:p w14:paraId="1738B4B0">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五</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公有财务、备用金、电子设备等。</w:t>
      </w:r>
    </w:p>
    <w:p w14:paraId="2AD0D18E">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p>
    <w:p w14:paraId="0B982A96">
      <w:pPr>
        <w:pageBreakBefore w:val="0"/>
        <w:kinsoku/>
        <w:overflowPunct/>
        <w:topLinePunct w:val="0"/>
        <w:autoSpaceDE/>
        <w:autoSpaceDN/>
        <w:bidi w:val="0"/>
        <w:adjustRightInd/>
        <w:snapToGrid/>
        <w:spacing w:line="560" w:lineRule="exact"/>
        <w:jc w:val="center"/>
        <w:textAlignment w:val="auto"/>
        <w:rPr>
          <w:rFonts w:hint="eastAsia" w:ascii="楷体_GB2312" w:hAnsi="Times New Roman" w:eastAsia="楷体_GB2312" w:cs="Times New Roman"/>
          <w:color w:val="000000"/>
          <w:sz w:val="32"/>
          <w:szCs w:val="32"/>
          <w:lang w:val="en-US" w:eastAsia="zh-CN"/>
        </w:rPr>
      </w:pPr>
      <w:r>
        <w:rPr>
          <w:rFonts w:hint="eastAsia" w:ascii="楷体_GB2312" w:hAnsi="Times New Roman" w:eastAsia="楷体_GB2312" w:cs="Times New Roman"/>
          <w:color w:val="000000"/>
          <w:sz w:val="32"/>
          <w:szCs w:val="32"/>
          <w:lang w:val="en-US" w:eastAsia="zh-CN"/>
        </w:rPr>
        <w:t xml:space="preserve">第五节 </w:t>
      </w:r>
      <w:r>
        <w:rPr>
          <w:rFonts w:hint="eastAsia" w:ascii="仿宋_GB2312" w:hAnsi="Times New Roman" w:eastAsia="仿宋_GB2312" w:cs="Times New Roman"/>
          <w:sz w:val="32"/>
          <w:szCs w:val="32"/>
          <w:lang w:val="en-US" w:eastAsia="zh-CN"/>
        </w:rPr>
        <w:t>离</w:t>
      </w:r>
      <w:r>
        <w:rPr>
          <w:rFonts w:hint="eastAsia" w:ascii="楷体_GB2312" w:hAnsi="Times New Roman" w:eastAsia="楷体_GB2312" w:cs="Times New Roman"/>
          <w:color w:val="000000"/>
          <w:sz w:val="32"/>
          <w:szCs w:val="32"/>
          <w:lang w:val="en-US" w:eastAsia="zh-CN"/>
        </w:rPr>
        <w:t>（停）职</w:t>
      </w:r>
    </w:p>
    <w:p w14:paraId="1029D0E7">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第二十三条</w:t>
      </w:r>
      <w:r>
        <w:rPr>
          <w:rFonts w:hint="eastAsia" w:ascii="仿宋_GB2312" w:hAnsi="Times New Roman" w:eastAsia="仿宋_GB2312" w:cs="Times New Roman"/>
          <w:sz w:val="32"/>
          <w:szCs w:val="32"/>
          <w:lang w:val="en-US" w:eastAsia="zh-CN"/>
        </w:rPr>
        <w:t xml:space="preserve"> 基金会员工因触犯法律嫌疑重大而被羁押或提起公诉者，基金会可命令其停职，但经侦查处撤诉或判决无罪确定后，可予复职。</w:t>
      </w:r>
    </w:p>
    <w:p w14:paraId="0F17CA63">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 xml:space="preserve">第二十四条 </w:t>
      </w:r>
      <w:r>
        <w:rPr>
          <w:rFonts w:hint="eastAsia" w:ascii="仿宋_GB2312" w:hAnsi="Times New Roman" w:eastAsia="仿宋_GB2312" w:cs="Times New Roman"/>
          <w:sz w:val="32"/>
          <w:szCs w:val="32"/>
          <w:lang w:val="en-US" w:eastAsia="zh-CN"/>
        </w:rPr>
        <w:t>正式员工主动解除劳动合同，应当提前30日填写书面申请；试用期员工主动解除劳动合同，需提前3日提交书面申请。辞职申请说明辞职原因和预期的离职日期，并签名确认。</w:t>
      </w:r>
    </w:p>
    <w:p w14:paraId="116D5EED">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第二十五条</w:t>
      </w:r>
      <w:r>
        <w:rPr>
          <w:rFonts w:hint="eastAsia" w:ascii="仿宋_GB2312" w:hAnsi="Times New Roman" w:eastAsia="仿宋_GB2312" w:cs="Times New Roman"/>
          <w:sz w:val="32"/>
          <w:szCs w:val="32"/>
          <w:lang w:val="en-US" w:eastAsia="zh-CN"/>
        </w:rPr>
        <w:t xml:space="preserve"> 员工辞职申请经直属上级，秘书长审批同意后，办理离职手续。未获秘书长批准的，30日后方可办理离职手续，30日内擅自离职者以旷工论处。</w:t>
      </w:r>
    </w:p>
    <w:p w14:paraId="131EE9C7">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第二十六条</w:t>
      </w:r>
      <w:r>
        <w:rPr>
          <w:rFonts w:hint="eastAsia" w:ascii="仿宋_GB2312" w:hAnsi="Times New Roman" w:eastAsia="仿宋_GB2312" w:cs="Times New Roman"/>
          <w:sz w:val="32"/>
          <w:szCs w:val="32"/>
          <w:lang w:val="en-US" w:eastAsia="zh-CN"/>
        </w:rPr>
        <w:t xml:space="preserve"> 员工离职均应办理交接手续，归还工作资产、办公用品、基金会相关材料等。</w:t>
      </w:r>
    </w:p>
    <w:p w14:paraId="017696B5">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第二十七条</w:t>
      </w:r>
      <w:r>
        <w:rPr>
          <w:rFonts w:hint="eastAsia" w:ascii="仿宋_GB2312" w:hAnsi="Times New Roman" w:eastAsia="仿宋_GB2312" w:cs="Times New Roman"/>
          <w:sz w:val="32"/>
          <w:szCs w:val="32"/>
          <w:lang w:val="en-US" w:eastAsia="zh-CN"/>
        </w:rPr>
        <w:t xml:space="preserve"> 员工离职手续办理完毕后，在月度发薪日结算工资。 </w:t>
      </w:r>
    </w:p>
    <w:p w14:paraId="5D1A96E7">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第二十八条</w:t>
      </w:r>
      <w:r>
        <w:rPr>
          <w:rFonts w:hint="eastAsia" w:ascii="仿宋_GB2312" w:hAnsi="Times New Roman" w:eastAsia="仿宋_GB2312" w:cs="Times New Roman"/>
          <w:sz w:val="32"/>
          <w:szCs w:val="32"/>
          <w:lang w:val="en-US" w:eastAsia="zh-CN"/>
        </w:rPr>
        <w:t xml:space="preserve"> 员工必须按照要求的离职程序和离职时间完成工作交接，因未妥善交接造成的损失，基金会保留追偿的权力，不予出具离职证明或延迟发放离职工资直至办结离职手续。</w:t>
      </w:r>
    </w:p>
    <w:p w14:paraId="5782DDD8">
      <w:pPr>
        <w:keepNext w:val="0"/>
        <w:keepLines w:val="0"/>
        <w:pageBreakBefore w:val="0"/>
        <w:widowControl/>
        <w:suppressLineNumbers w:val="0"/>
        <w:kinsoku/>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kern w:val="0"/>
          <w:sz w:val="28"/>
          <w:szCs w:val="28"/>
          <w:lang w:val="en-US" w:eastAsia="zh-CN" w:bidi="ar"/>
        </w:rPr>
      </w:pPr>
    </w:p>
    <w:p w14:paraId="3AC679CA">
      <w:pPr>
        <w:pageBreakBefore w:val="0"/>
        <w:kinsoku/>
        <w:overflowPunct/>
        <w:topLinePunct w:val="0"/>
        <w:autoSpaceDE/>
        <w:autoSpaceDN/>
        <w:bidi w:val="0"/>
        <w:adjustRightInd/>
        <w:snapToGrid/>
        <w:spacing w:line="560" w:lineRule="exact"/>
        <w:jc w:val="center"/>
        <w:textAlignment w:val="auto"/>
        <w:rPr>
          <w:rFonts w:hint="eastAsia" w:ascii="黑体" w:hAnsi="宋体" w:eastAsia="黑体" w:cs="黑体"/>
          <w:b/>
          <w:bCs/>
          <w:color w:val="000000"/>
          <w:kern w:val="0"/>
          <w:sz w:val="31"/>
          <w:szCs w:val="31"/>
          <w:lang w:val="en-US" w:eastAsia="zh-CN" w:bidi="ar"/>
        </w:rPr>
      </w:pPr>
      <w:r>
        <w:rPr>
          <w:rFonts w:hint="eastAsia" w:ascii="黑体" w:hAnsi="宋体" w:eastAsia="黑体" w:cs="黑体"/>
          <w:b/>
          <w:bCs/>
          <w:color w:val="000000"/>
          <w:kern w:val="0"/>
          <w:sz w:val="31"/>
          <w:szCs w:val="31"/>
          <w:lang w:val="en-US" w:eastAsia="zh-CN" w:bidi="ar"/>
        </w:rPr>
        <w:t>第三章 假勤管理</w:t>
      </w:r>
    </w:p>
    <w:p w14:paraId="46AD7C56">
      <w:pPr>
        <w:pageBreakBefore w:val="0"/>
        <w:kinsoku/>
        <w:overflowPunct/>
        <w:topLinePunct w:val="0"/>
        <w:autoSpaceDE/>
        <w:autoSpaceDN/>
        <w:bidi w:val="0"/>
        <w:adjustRightInd/>
        <w:snapToGrid/>
        <w:spacing w:line="560" w:lineRule="exact"/>
        <w:jc w:val="center"/>
        <w:textAlignment w:val="auto"/>
        <w:rPr>
          <w:rFonts w:hint="default" w:ascii="楷体_GB2312" w:hAnsi="Times New Roman" w:eastAsia="楷体_GB2312" w:cs="Times New Roman"/>
          <w:color w:val="000000"/>
          <w:sz w:val="32"/>
          <w:szCs w:val="32"/>
          <w:lang w:val="en-US" w:eastAsia="zh-CN"/>
        </w:rPr>
      </w:pPr>
      <w:r>
        <w:rPr>
          <w:rFonts w:hint="default" w:ascii="楷体_GB2312" w:hAnsi="Times New Roman" w:eastAsia="楷体_GB2312" w:cs="Times New Roman"/>
          <w:color w:val="000000"/>
          <w:sz w:val="32"/>
          <w:szCs w:val="32"/>
          <w:lang w:val="en-US" w:eastAsia="zh-CN"/>
        </w:rPr>
        <w:t>第</w:t>
      </w:r>
      <w:r>
        <w:rPr>
          <w:rFonts w:hint="eastAsia" w:ascii="楷体_GB2312" w:hAnsi="Times New Roman" w:eastAsia="楷体_GB2312" w:cs="Times New Roman"/>
          <w:color w:val="000000"/>
          <w:sz w:val="32"/>
          <w:szCs w:val="32"/>
          <w:lang w:val="en-US" w:eastAsia="zh-CN"/>
        </w:rPr>
        <w:t>一节</w:t>
      </w:r>
      <w:r>
        <w:rPr>
          <w:rFonts w:hint="default" w:ascii="楷体_GB2312" w:hAnsi="Times New Roman" w:eastAsia="楷体_GB2312" w:cs="Times New Roman"/>
          <w:color w:val="000000"/>
          <w:sz w:val="32"/>
          <w:szCs w:val="32"/>
          <w:lang w:val="en-US" w:eastAsia="zh-CN"/>
        </w:rPr>
        <w:t xml:space="preserve"> 工作时间</w:t>
      </w:r>
    </w:p>
    <w:p w14:paraId="43C11E5B">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楷体_GB2312" w:hAnsi="Times New Roman" w:eastAsia="楷体_GB2312" w:cs="Times New Roman"/>
          <w:color w:val="000000"/>
          <w:sz w:val="32"/>
          <w:szCs w:val="32"/>
          <w:lang w:val="en-US" w:eastAsia="zh-CN"/>
        </w:rPr>
        <w:t>第</w:t>
      </w:r>
      <w:r>
        <w:rPr>
          <w:rFonts w:hint="eastAsia" w:ascii="楷体_GB2312" w:hAnsi="Times New Roman" w:eastAsia="楷体_GB2312" w:cs="Times New Roman"/>
          <w:color w:val="000000"/>
          <w:sz w:val="32"/>
          <w:szCs w:val="32"/>
          <w:lang w:val="en-US" w:eastAsia="zh-CN"/>
        </w:rPr>
        <w:t>二十九</w:t>
      </w:r>
      <w:r>
        <w:rPr>
          <w:rFonts w:hint="default" w:ascii="楷体_GB2312" w:hAnsi="Times New Roman" w:eastAsia="楷体_GB2312" w:cs="Times New Roman"/>
          <w:color w:val="000000"/>
          <w:sz w:val="32"/>
          <w:szCs w:val="32"/>
          <w:lang w:val="en-US" w:eastAsia="zh-CN"/>
        </w:rPr>
        <w:t>条</w:t>
      </w:r>
      <w:r>
        <w:rPr>
          <w:rFonts w:hint="default" w:ascii="仿宋_GB2312" w:hAnsi="Times New Roman" w:eastAsia="仿宋_GB2312" w:cs="Times New Roman"/>
          <w:sz w:val="32"/>
          <w:szCs w:val="32"/>
          <w:lang w:val="en-US" w:eastAsia="zh-CN"/>
        </w:rPr>
        <w:t xml:space="preserve"> 基金会依法实行8小时工作制，其中上午9:00--12:00，用餐12：00-13：30；下午13：30--17：00。</w:t>
      </w:r>
    </w:p>
    <w:p w14:paraId="065914B2">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楷体_GB2312" w:hAnsi="Times New Roman" w:eastAsia="楷体_GB2312" w:cs="Times New Roman"/>
          <w:color w:val="000000"/>
          <w:sz w:val="32"/>
          <w:szCs w:val="32"/>
          <w:lang w:val="en-US" w:eastAsia="zh-CN"/>
        </w:rPr>
        <w:t>第</w:t>
      </w:r>
      <w:r>
        <w:rPr>
          <w:rFonts w:hint="eastAsia" w:ascii="楷体_GB2312" w:hAnsi="Times New Roman" w:eastAsia="楷体_GB2312" w:cs="Times New Roman"/>
          <w:color w:val="000000"/>
          <w:sz w:val="32"/>
          <w:szCs w:val="32"/>
          <w:lang w:val="en-US" w:eastAsia="zh-CN"/>
        </w:rPr>
        <w:t>三十</w:t>
      </w:r>
      <w:r>
        <w:rPr>
          <w:rFonts w:hint="default" w:ascii="楷体_GB2312" w:hAnsi="Times New Roman" w:eastAsia="楷体_GB2312" w:cs="Times New Roman"/>
          <w:color w:val="000000"/>
          <w:sz w:val="32"/>
          <w:szCs w:val="32"/>
          <w:lang w:val="en-US" w:eastAsia="zh-CN"/>
        </w:rPr>
        <w:t>条</w:t>
      </w:r>
      <w:r>
        <w:rPr>
          <w:rFonts w:hint="default" w:ascii="仿宋_GB2312" w:hAnsi="Times New Roman" w:eastAsia="仿宋_GB2312" w:cs="Times New Roman"/>
          <w:sz w:val="32"/>
          <w:szCs w:val="32"/>
          <w:lang w:val="en-US" w:eastAsia="zh-CN"/>
        </w:rPr>
        <w:t xml:space="preserve"> 基金会实行电子考勤，无补签。</w:t>
      </w:r>
    </w:p>
    <w:p w14:paraId="42D075CD">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楷体_GB2312" w:hAnsi="Times New Roman" w:eastAsia="楷体_GB2312" w:cs="Times New Roman"/>
          <w:color w:val="000000"/>
          <w:sz w:val="32"/>
          <w:szCs w:val="32"/>
          <w:lang w:val="en-US" w:eastAsia="zh-CN"/>
        </w:rPr>
        <w:t>第</w:t>
      </w:r>
      <w:r>
        <w:rPr>
          <w:rFonts w:hint="eastAsia" w:ascii="楷体_GB2312" w:hAnsi="Times New Roman" w:eastAsia="楷体_GB2312" w:cs="Times New Roman"/>
          <w:color w:val="000000"/>
          <w:sz w:val="32"/>
          <w:szCs w:val="32"/>
          <w:lang w:val="en-US" w:eastAsia="zh-CN"/>
        </w:rPr>
        <w:t>三十一</w:t>
      </w:r>
      <w:r>
        <w:rPr>
          <w:rFonts w:hint="default" w:ascii="楷体_GB2312" w:hAnsi="Times New Roman" w:eastAsia="楷体_GB2312" w:cs="Times New Roman"/>
          <w:color w:val="000000"/>
          <w:sz w:val="32"/>
          <w:szCs w:val="32"/>
          <w:lang w:val="en-US" w:eastAsia="zh-CN"/>
        </w:rPr>
        <w:t>条</w:t>
      </w:r>
      <w:r>
        <w:rPr>
          <w:rFonts w:hint="default" w:ascii="仿宋_GB2312" w:hAnsi="Times New Roman" w:eastAsia="仿宋_GB2312" w:cs="Times New Roman"/>
          <w:sz w:val="32"/>
          <w:szCs w:val="32"/>
          <w:lang w:val="en-US" w:eastAsia="zh-CN"/>
        </w:rPr>
        <w:t xml:space="preserve"> 综合部将在每月30日/31日统计员工出勤情况，考勤核算周期为当月1日至30日/31日。</w:t>
      </w:r>
    </w:p>
    <w:p w14:paraId="40E54A3B">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p>
    <w:p w14:paraId="71AD4806">
      <w:pPr>
        <w:pageBreakBefore w:val="0"/>
        <w:kinsoku/>
        <w:overflowPunct/>
        <w:topLinePunct w:val="0"/>
        <w:autoSpaceDE/>
        <w:autoSpaceDN/>
        <w:bidi w:val="0"/>
        <w:adjustRightInd/>
        <w:snapToGrid/>
        <w:spacing w:line="560" w:lineRule="exact"/>
        <w:jc w:val="center"/>
        <w:textAlignment w:val="auto"/>
        <w:rPr>
          <w:rFonts w:hint="default" w:ascii="楷体_GB2312" w:hAnsi="Times New Roman" w:eastAsia="楷体_GB2312" w:cs="Times New Roman"/>
          <w:color w:val="000000"/>
          <w:sz w:val="32"/>
          <w:szCs w:val="32"/>
          <w:lang w:val="en-US" w:eastAsia="zh-CN"/>
        </w:rPr>
      </w:pPr>
      <w:r>
        <w:rPr>
          <w:rFonts w:hint="default" w:ascii="楷体_GB2312" w:hAnsi="Times New Roman" w:eastAsia="楷体_GB2312" w:cs="Times New Roman"/>
          <w:color w:val="000000"/>
          <w:sz w:val="32"/>
          <w:szCs w:val="32"/>
          <w:lang w:val="en-US" w:eastAsia="zh-CN"/>
        </w:rPr>
        <w:t>第二</w:t>
      </w:r>
      <w:r>
        <w:rPr>
          <w:rFonts w:hint="eastAsia" w:ascii="楷体_GB2312" w:hAnsi="Times New Roman" w:eastAsia="楷体_GB2312" w:cs="Times New Roman"/>
          <w:color w:val="000000"/>
          <w:sz w:val="32"/>
          <w:szCs w:val="32"/>
          <w:lang w:val="en-US" w:eastAsia="zh-CN"/>
        </w:rPr>
        <w:t>节</w:t>
      </w:r>
      <w:r>
        <w:rPr>
          <w:rFonts w:hint="default" w:ascii="楷体_GB2312" w:hAnsi="Times New Roman" w:eastAsia="楷体_GB2312" w:cs="Times New Roman"/>
          <w:color w:val="000000"/>
          <w:sz w:val="32"/>
          <w:szCs w:val="32"/>
          <w:lang w:val="en-US" w:eastAsia="zh-CN"/>
        </w:rPr>
        <w:t xml:space="preserve"> 考勤规定</w:t>
      </w:r>
    </w:p>
    <w:p w14:paraId="0916A919">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楷体_GB2312" w:hAnsi="Times New Roman" w:eastAsia="楷体_GB2312" w:cs="Times New Roman"/>
          <w:color w:val="000000"/>
          <w:sz w:val="32"/>
          <w:szCs w:val="32"/>
          <w:lang w:val="en-US" w:eastAsia="zh-CN"/>
        </w:rPr>
        <w:t>第</w:t>
      </w:r>
      <w:r>
        <w:rPr>
          <w:rFonts w:hint="eastAsia" w:ascii="楷体_GB2312" w:hAnsi="Times New Roman" w:eastAsia="楷体_GB2312" w:cs="Times New Roman"/>
          <w:color w:val="000000"/>
          <w:sz w:val="32"/>
          <w:szCs w:val="32"/>
          <w:lang w:val="en-US" w:eastAsia="zh-CN"/>
        </w:rPr>
        <w:t>三十二</w:t>
      </w:r>
      <w:r>
        <w:rPr>
          <w:rFonts w:hint="default" w:ascii="楷体_GB2312" w:hAnsi="Times New Roman" w:eastAsia="楷体_GB2312" w:cs="Times New Roman"/>
          <w:color w:val="000000"/>
          <w:sz w:val="32"/>
          <w:szCs w:val="32"/>
          <w:lang w:val="en-US" w:eastAsia="zh-CN"/>
        </w:rPr>
        <w:t>条</w:t>
      </w:r>
      <w:r>
        <w:rPr>
          <w:rFonts w:hint="default" w:ascii="仿宋_GB2312" w:hAnsi="Times New Roman" w:eastAsia="仿宋_GB2312" w:cs="Times New Roman"/>
          <w:sz w:val="32"/>
          <w:szCs w:val="32"/>
          <w:lang w:val="en-US" w:eastAsia="zh-CN"/>
        </w:rPr>
        <w:t xml:space="preserve"> 员工考勤情况将作为年度工作纪律指标。员工必须认真遵守上下班时间，不得无故旷工、迟到或早退；</w:t>
      </w:r>
    </w:p>
    <w:p w14:paraId="6574688A">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楷体_GB2312" w:hAnsi="Times New Roman" w:eastAsia="楷体_GB2312" w:cs="Times New Roman"/>
          <w:color w:val="000000"/>
          <w:sz w:val="32"/>
          <w:szCs w:val="32"/>
          <w:lang w:val="en-US" w:eastAsia="zh-CN"/>
        </w:rPr>
        <w:t>第</w:t>
      </w:r>
      <w:r>
        <w:rPr>
          <w:rFonts w:hint="eastAsia" w:ascii="楷体_GB2312" w:hAnsi="Times New Roman" w:eastAsia="楷体_GB2312" w:cs="Times New Roman"/>
          <w:color w:val="000000"/>
          <w:sz w:val="32"/>
          <w:szCs w:val="32"/>
          <w:lang w:val="en-US" w:eastAsia="zh-CN"/>
        </w:rPr>
        <w:t>三十三</w:t>
      </w:r>
      <w:r>
        <w:rPr>
          <w:rFonts w:hint="default" w:ascii="楷体_GB2312" w:hAnsi="Times New Roman" w:eastAsia="楷体_GB2312" w:cs="Times New Roman"/>
          <w:color w:val="000000"/>
          <w:sz w:val="32"/>
          <w:szCs w:val="32"/>
          <w:lang w:val="en-US" w:eastAsia="zh-CN"/>
        </w:rPr>
        <w:t>条</w:t>
      </w:r>
      <w:r>
        <w:rPr>
          <w:rFonts w:hint="default" w:ascii="仿宋_GB2312" w:hAnsi="Times New Roman" w:eastAsia="仿宋_GB2312" w:cs="Times New Roman"/>
          <w:sz w:val="32"/>
          <w:szCs w:val="32"/>
          <w:lang w:val="en-US" w:eastAsia="zh-CN"/>
        </w:rPr>
        <w:t xml:space="preserve"> 员工因特殊情况不能按时上下班，应于当日提交请假流程。</w:t>
      </w:r>
    </w:p>
    <w:p w14:paraId="59372415">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楷体_GB2312" w:hAnsi="Times New Roman" w:eastAsia="楷体_GB2312" w:cs="Times New Roman"/>
          <w:color w:val="000000"/>
          <w:sz w:val="32"/>
          <w:szCs w:val="32"/>
          <w:lang w:val="en-US" w:eastAsia="zh-CN"/>
        </w:rPr>
        <w:t>第</w:t>
      </w:r>
      <w:r>
        <w:rPr>
          <w:rFonts w:hint="eastAsia" w:ascii="楷体_GB2312" w:hAnsi="Times New Roman" w:eastAsia="楷体_GB2312" w:cs="Times New Roman"/>
          <w:color w:val="000000"/>
          <w:sz w:val="32"/>
          <w:szCs w:val="32"/>
          <w:lang w:val="en-US" w:eastAsia="zh-CN"/>
        </w:rPr>
        <w:t>三十四</w:t>
      </w:r>
      <w:r>
        <w:rPr>
          <w:rFonts w:hint="default" w:ascii="楷体_GB2312" w:hAnsi="Times New Roman" w:eastAsia="楷体_GB2312" w:cs="Times New Roman"/>
          <w:color w:val="000000"/>
          <w:sz w:val="32"/>
          <w:szCs w:val="32"/>
          <w:lang w:val="en-US" w:eastAsia="zh-CN"/>
        </w:rPr>
        <w:t>条</w:t>
      </w:r>
      <w:r>
        <w:rPr>
          <w:rFonts w:hint="default" w:ascii="仿宋_GB2312" w:hAnsi="Times New Roman" w:eastAsia="仿宋_GB2312" w:cs="Times New Roman"/>
          <w:sz w:val="32"/>
          <w:szCs w:val="32"/>
          <w:lang w:val="en-US" w:eastAsia="zh-CN"/>
        </w:rPr>
        <w:t xml:space="preserve"> 有以下情况之一的，按旷工处理：</w:t>
      </w:r>
    </w:p>
    <w:p w14:paraId="23BD8B25">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（一）未经请假或请假未获批准的；</w:t>
      </w:r>
    </w:p>
    <w:p w14:paraId="2228A130">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（二）休假期满未续假而缺勤的；</w:t>
      </w:r>
    </w:p>
    <w:p w14:paraId="6D4BB3E7">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（三）迟到超过2小时按照旷工半天计算，迟到超过4小时按照旷工1天计算；</w:t>
      </w:r>
    </w:p>
    <w:p w14:paraId="2305794A">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（四）全天无打卡记录的。</w:t>
      </w:r>
    </w:p>
    <w:p w14:paraId="11865AD2">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楷体_GB2312" w:hAnsi="Times New Roman" w:eastAsia="楷体_GB2312" w:cs="Times New Roman"/>
          <w:color w:val="000000"/>
          <w:sz w:val="32"/>
          <w:szCs w:val="32"/>
          <w:lang w:val="en-US" w:eastAsia="zh-CN"/>
        </w:rPr>
        <w:t>第</w:t>
      </w:r>
      <w:r>
        <w:rPr>
          <w:rFonts w:hint="eastAsia" w:ascii="楷体_GB2312" w:hAnsi="Times New Roman" w:eastAsia="楷体_GB2312" w:cs="Times New Roman"/>
          <w:color w:val="000000"/>
          <w:sz w:val="32"/>
          <w:szCs w:val="32"/>
          <w:lang w:val="en-US" w:eastAsia="zh-CN"/>
        </w:rPr>
        <w:t>三十五</w:t>
      </w:r>
      <w:r>
        <w:rPr>
          <w:rFonts w:hint="default" w:ascii="楷体_GB2312" w:hAnsi="Times New Roman" w:eastAsia="楷体_GB2312" w:cs="Times New Roman"/>
          <w:color w:val="000000"/>
          <w:sz w:val="32"/>
          <w:szCs w:val="32"/>
          <w:lang w:val="en-US" w:eastAsia="zh-CN"/>
        </w:rPr>
        <w:t>条</w:t>
      </w:r>
      <w:r>
        <w:rPr>
          <w:rFonts w:hint="default" w:ascii="仿宋_GB2312" w:hAnsi="Times New Roman" w:eastAsia="仿宋_GB2312" w:cs="Times New Roman"/>
          <w:sz w:val="32"/>
          <w:szCs w:val="32"/>
          <w:lang w:val="en-US" w:eastAsia="zh-CN"/>
        </w:rPr>
        <w:t xml:space="preserve"> 基金会按旷工天数扣除当事人对应的日工资。</w:t>
      </w:r>
    </w:p>
    <w:p w14:paraId="17860E5B">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楷体_GB2312" w:hAnsi="Times New Roman" w:eastAsia="楷体_GB2312" w:cs="Times New Roman"/>
          <w:color w:val="000000"/>
          <w:sz w:val="32"/>
          <w:szCs w:val="32"/>
          <w:lang w:val="en-US" w:eastAsia="zh-CN"/>
        </w:rPr>
        <w:t>第</w:t>
      </w:r>
      <w:r>
        <w:rPr>
          <w:rFonts w:hint="eastAsia" w:ascii="楷体_GB2312" w:hAnsi="Times New Roman" w:eastAsia="楷体_GB2312" w:cs="Times New Roman"/>
          <w:color w:val="000000"/>
          <w:sz w:val="32"/>
          <w:szCs w:val="32"/>
          <w:lang w:val="en-US" w:eastAsia="zh-CN"/>
        </w:rPr>
        <w:t>三十六</w:t>
      </w:r>
      <w:r>
        <w:rPr>
          <w:rFonts w:hint="default" w:ascii="楷体_GB2312" w:hAnsi="Times New Roman" w:eastAsia="楷体_GB2312" w:cs="Times New Roman"/>
          <w:color w:val="000000"/>
          <w:sz w:val="32"/>
          <w:szCs w:val="32"/>
          <w:lang w:val="en-US" w:eastAsia="zh-CN"/>
        </w:rPr>
        <w:t>条</w:t>
      </w:r>
      <w:r>
        <w:rPr>
          <w:rFonts w:hint="default" w:ascii="仿宋_GB2312" w:hAnsi="Times New Roman" w:eastAsia="仿宋_GB2312" w:cs="Times New Roman"/>
          <w:sz w:val="32"/>
          <w:szCs w:val="32"/>
          <w:lang w:val="en-US" w:eastAsia="zh-CN"/>
        </w:rPr>
        <w:t xml:space="preserve"> 连续旷工超过3个工作日或1年内累计旷工满5个工作日的，视为严重违纪，基金会将予以辞退处理且无补偿金。</w:t>
      </w:r>
    </w:p>
    <w:p w14:paraId="4F8FAB4E">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p>
    <w:p w14:paraId="2E1821D1">
      <w:pPr>
        <w:pageBreakBefore w:val="0"/>
        <w:kinsoku/>
        <w:overflowPunct/>
        <w:topLinePunct w:val="0"/>
        <w:autoSpaceDE/>
        <w:autoSpaceDN/>
        <w:bidi w:val="0"/>
        <w:adjustRightInd/>
        <w:snapToGrid/>
        <w:spacing w:line="560" w:lineRule="exact"/>
        <w:jc w:val="center"/>
        <w:textAlignment w:val="auto"/>
        <w:rPr>
          <w:rFonts w:hint="default" w:ascii="楷体_GB2312" w:hAnsi="Times New Roman" w:eastAsia="楷体_GB2312" w:cs="Times New Roman"/>
          <w:color w:val="000000"/>
          <w:sz w:val="32"/>
          <w:szCs w:val="32"/>
          <w:lang w:val="en-US" w:eastAsia="zh-CN"/>
        </w:rPr>
      </w:pPr>
      <w:r>
        <w:rPr>
          <w:rFonts w:hint="default" w:ascii="楷体_GB2312" w:hAnsi="Times New Roman" w:eastAsia="楷体_GB2312" w:cs="Times New Roman"/>
          <w:color w:val="000000"/>
          <w:sz w:val="32"/>
          <w:szCs w:val="32"/>
          <w:lang w:val="en-US" w:eastAsia="zh-CN"/>
        </w:rPr>
        <w:t>第三</w:t>
      </w:r>
      <w:r>
        <w:rPr>
          <w:rFonts w:hint="eastAsia" w:ascii="楷体_GB2312" w:hAnsi="Times New Roman" w:eastAsia="楷体_GB2312" w:cs="Times New Roman"/>
          <w:color w:val="000000"/>
          <w:sz w:val="32"/>
          <w:szCs w:val="32"/>
          <w:lang w:val="en-US" w:eastAsia="zh-CN"/>
        </w:rPr>
        <w:t>节</w:t>
      </w:r>
      <w:r>
        <w:rPr>
          <w:rFonts w:hint="default" w:ascii="楷体_GB2312" w:hAnsi="Times New Roman" w:eastAsia="楷体_GB2312" w:cs="Times New Roman"/>
          <w:color w:val="000000"/>
          <w:sz w:val="32"/>
          <w:szCs w:val="32"/>
          <w:lang w:val="en-US" w:eastAsia="zh-CN"/>
        </w:rPr>
        <w:t xml:space="preserve"> 加班管理</w:t>
      </w:r>
    </w:p>
    <w:p w14:paraId="19B4C58D">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楷体_GB2312" w:hAnsi="Times New Roman" w:eastAsia="楷体_GB2312" w:cs="Times New Roman"/>
          <w:color w:val="000000"/>
          <w:sz w:val="32"/>
          <w:szCs w:val="32"/>
          <w:lang w:val="en-US" w:eastAsia="zh-CN"/>
        </w:rPr>
        <w:t>第</w:t>
      </w:r>
      <w:r>
        <w:rPr>
          <w:rFonts w:hint="eastAsia" w:ascii="楷体_GB2312" w:hAnsi="Times New Roman" w:eastAsia="楷体_GB2312" w:cs="Times New Roman"/>
          <w:color w:val="000000"/>
          <w:sz w:val="32"/>
          <w:szCs w:val="32"/>
          <w:lang w:val="en-US" w:eastAsia="zh-CN"/>
        </w:rPr>
        <w:t>三十七</w:t>
      </w:r>
      <w:r>
        <w:rPr>
          <w:rFonts w:hint="default" w:ascii="楷体_GB2312" w:hAnsi="Times New Roman" w:eastAsia="楷体_GB2312" w:cs="Times New Roman"/>
          <w:color w:val="000000"/>
          <w:sz w:val="32"/>
          <w:szCs w:val="32"/>
          <w:lang w:val="en-US" w:eastAsia="zh-CN"/>
        </w:rPr>
        <w:t>条</w:t>
      </w:r>
      <w:r>
        <w:rPr>
          <w:rFonts w:hint="default" w:ascii="仿宋_GB2312" w:hAnsi="Times New Roman" w:eastAsia="仿宋_GB2312" w:cs="Times New Roman"/>
          <w:sz w:val="32"/>
          <w:szCs w:val="32"/>
          <w:lang w:val="en-US" w:eastAsia="zh-CN"/>
        </w:rPr>
        <w:t xml:space="preserve"> 基金会不鼓励员工超时工作，确有不可避免的超时工作应事前发起加班申请流程，并经直属上级审批通过方可实行。</w:t>
      </w:r>
    </w:p>
    <w:p w14:paraId="40808DDA">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在工作职责范围内，在上班时间必须完成工作未完成而延长上班时间的视为正常上班，不属于加班。员工因工作需要而被指派加班时，如无特殊理由不得推诿。</w:t>
      </w:r>
    </w:p>
    <w:p w14:paraId="134379C1">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楷体_GB2312" w:hAnsi="Times New Roman" w:eastAsia="楷体_GB2312" w:cs="Times New Roman"/>
          <w:color w:val="000000"/>
          <w:sz w:val="32"/>
          <w:szCs w:val="32"/>
          <w:lang w:val="en-US" w:eastAsia="zh-CN"/>
        </w:rPr>
        <w:t>第</w:t>
      </w:r>
      <w:r>
        <w:rPr>
          <w:rFonts w:hint="eastAsia" w:ascii="楷体_GB2312" w:hAnsi="Times New Roman" w:eastAsia="楷体_GB2312" w:cs="Times New Roman"/>
          <w:color w:val="000000"/>
          <w:sz w:val="32"/>
          <w:szCs w:val="32"/>
          <w:lang w:val="en-US" w:eastAsia="zh-CN"/>
        </w:rPr>
        <w:t>三十八</w:t>
      </w:r>
      <w:r>
        <w:rPr>
          <w:rFonts w:hint="default" w:ascii="楷体_GB2312" w:hAnsi="Times New Roman" w:eastAsia="楷体_GB2312" w:cs="Times New Roman"/>
          <w:color w:val="000000"/>
          <w:sz w:val="32"/>
          <w:szCs w:val="32"/>
          <w:lang w:val="en-US" w:eastAsia="zh-CN"/>
        </w:rPr>
        <w:t>条</w:t>
      </w:r>
      <w:r>
        <w:rPr>
          <w:rFonts w:hint="default" w:ascii="仿宋_GB2312" w:hAnsi="Times New Roman" w:eastAsia="仿宋_GB2312" w:cs="Times New Roman"/>
          <w:sz w:val="32"/>
          <w:szCs w:val="32"/>
          <w:lang w:val="en-US" w:eastAsia="zh-CN"/>
        </w:rPr>
        <w:t xml:space="preserve"> 加班时间以小时作为起点计时单位。每4小时为0.5个工作日，累计8小时为1个工作日，以此类推。加班补偿采用调休的形式，根据系统计算，每加班1天给予1天补偿。已审批通过的超时工作调休的，应当在发生之日起</w:t>
      </w:r>
      <w:r>
        <w:rPr>
          <w:rFonts w:hint="eastAsia" w:ascii="仿宋_GB2312" w:hAnsi="Times New Roman" w:eastAsia="仿宋_GB2312" w:cs="Times New Roman"/>
          <w:sz w:val="32"/>
          <w:szCs w:val="32"/>
          <w:lang w:val="en-US" w:eastAsia="zh-CN"/>
        </w:rPr>
        <w:t>90</w:t>
      </w:r>
      <w:r>
        <w:rPr>
          <w:rFonts w:hint="default" w:ascii="仿宋_GB2312" w:hAnsi="Times New Roman" w:eastAsia="仿宋_GB2312" w:cs="Times New Roman"/>
          <w:sz w:val="32"/>
          <w:szCs w:val="32"/>
          <w:lang w:val="en-US" w:eastAsia="zh-CN"/>
        </w:rPr>
        <w:t>个</w:t>
      </w:r>
      <w:r>
        <w:rPr>
          <w:rFonts w:hint="eastAsia" w:ascii="仿宋_GB2312" w:hAnsi="Times New Roman" w:eastAsia="仿宋_GB2312" w:cs="Times New Roman"/>
          <w:sz w:val="32"/>
          <w:szCs w:val="32"/>
          <w:lang w:val="en-US" w:eastAsia="zh-CN"/>
        </w:rPr>
        <w:t>自然日</w:t>
      </w:r>
      <w:r>
        <w:rPr>
          <w:rFonts w:hint="default" w:ascii="仿宋_GB2312" w:hAnsi="Times New Roman" w:eastAsia="仿宋_GB2312" w:cs="Times New Roman"/>
          <w:sz w:val="32"/>
          <w:szCs w:val="32"/>
          <w:lang w:val="en-US" w:eastAsia="zh-CN"/>
        </w:rPr>
        <w:t>内完成补休，逾期不再安排补休。调休应提前</w:t>
      </w:r>
      <w:r>
        <w:rPr>
          <w:rFonts w:hint="eastAsia" w:ascii="仿宋_GB2312" w:hAnsi="Times New Roman" w:eastAsia="仿宋_GB2312" w:cs="Times New Roman"/>
          <w:sz w:val="32"/>
          <w:szCs w:val="32"/>
          <w:lang w:val="en-US" w:eastAsia="zh-CN"/>
        </w:rPr>
        <w:t>3</w:t>
      </w:r>
      <w:r>
        <w:rPr>
          <w:rFonts w:hint="default" w:ascii="仿宋_GB2312" w:hAnsi="Times New Roman" w:eastAsia="仿宋_GB2312" w:cs="Times New Roman"/>
          <w:sz w:val="32"/>
          <w:szCs w:val="32"/>
          <w:lang w:val="en-US" w:eastAsia="zh-CN"/>
        </w:rPr>
        <w:t>天</w:t>
      </w:r>
      <w:r>
        <w:rPr>
          <w:rFonts w:hint="eastAsia" w:ascii="仿宋_GB2312" w:hAnsi="Times New Roman" w:eastAsia="仿宋_GB2312" w:cs="Times New Roman"/>
          <w:sz w:val="32"/>
          <w:szCs w:val="32"/>
          <w:lang w:val="en-US" w:eastAsia="zh-CN"/>
        </w:rPr>
        <w:t>申请</w:t>
      </w:r>
      <w:r>
        <w:rPr>
          <w:rFonts w:hint="default" w:ascii="仿宋_GB2312" w:hAnsi="Times New Roman" w:eastAsia="仿宋_GB2312" w:cs="Times New Roman"/>
          <w:sz w:val="32"/>
          <w:szCs w:val="32"/>
          <w:lang w:val="en-US" w:eastAsia="zh-CN"/>
        </w:rPr>
        <w:t>调休流程</w:t>
      </w:r>
      <w:r>
        <w:rPr>
          <w:rFonts w:hint="eastAsia" w:ascii="仿宋_GB2312" w:hAnsi="Times New Roman" w:eastAsia="仿宋_GB2312" w:cs="Times New Roman"/>
          <w:sz w:val="32"/>
          <w:szCs w:val="32"/>
          <w:lang w:val="en-US" w:eastAsia="zh-CN"/>
        </w:rPr>
        <w:t>，连续调休时间不超过2天</w:t>
      </w:r>
      <w:r>
        <w:rPr>
          <w:rFonts w:hint="default" w:ascii="仿宋_GB2312" w:hAnsi="Times New Roman" w:eastAsia="仿宋_GB2312" w:cs="Times New Roman"/>
          <w:sz w:val="32"/>
          <w:szCs w:val="32"/>
          <w:lang w:val="en-US" w:eastAsia="zh-CN"/>
        </w:rPr>
        <w:t>。</w:t>
      </w:r>
    </w:p>
    <w:p w14:paraId="77C309E0">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楷体_GB2312" w:hAnsi="Times New Roman" w:eastAsia="楷体_GB2312" w:cs="Times New Roman"/>
          <w:color w:val="000000"/>
          <w:sz w:val="32"/>
          <w:szCs w:val="32"/>
          <w:lang w:val="en-US" w:eastAsia="zh-CN"/>
        </w:rPr>
        <w:t>第</w:t>
      </w:r>
      <w:r>
        <w:rPr>
          <w:rFonts w:hint="eastAsia" w:ascii="楷体_GB2312" w:hAnsi="Times New Roman" w:eastAsia="楷体_GB2312" w:cs="Times New Roman"/>
          <w:color w:val="000000"/>
          <w:sz w:val="32"/>
          <w:szCs w:val="32"/>
          <w:lang w:val="en-US" w:eastAsia="zh-CN"/>
        </w:rPr>
        <w:t>三十九条</w:t>
      </w:r>
      <w:r>
        <w:rPr>
          <w:rFonts w:hint="default" w:ascii="仿宋_GB2312" w:hAnsi="Times New Roman" w:eastAsia="仿宋_GB2312" w:cs="Times New Roman"/>
          <w:sz w:val="32"/>
          <w:szCs w:val="32"/>
          <w:lang w:val="en-US" w:eastAsia="zh-CN"/>
        </w:rPr>
        <w:t xml:space="preserve"> 出差及外出经相应流程审批通过后，视为正常出勤。</w:t>
      </w:r>
    </w:p>
    <w:p w14:paraId="5FA0EDCF">
      <w:pPr>
        <w:pageBreakBefore w:val="0"/>
        <w:kinsoku/>
        <w:overflowPunct/>
        <w:topLinePunct w:val="0"/>
        <w:autoSpaceDE/>
        <w:autoSpaceDN/>
        <w:bidi w:val="0"/>
        <w:adjustRightInd/>
        <w:snapToGrid/>
        <w:spacing w:line="560" w:lineRule="exact"/>
        <w:jc w:val="center"/>
        <w:textAlignment w:val="auto"/>
        <w:rPr>
          <w:rFonts w:hint="default" w:ascii="楷体_GB2312" w:hAnsi="Times New Roman" w:eastAsia="楷体_GB2312" w:cs="Times New Roman"/>
          <w:color w:val="000000"/>
          <w:sz w:val="32"/>
          <w:szCs w:val="32"/>
          <w:lang w:val="en-US" w:eastAsia="zh-CN"/>
        </w:rPr>
      </w:pPr>
      <w:r>
        <w:rPr>
          <w:rFonts w:hint="default" w:ascii="楷体_GB2312" w:hAnsi="Times New Roman" w:eastAsia="楷体_GB2312" w:cs="Times New Roman"/>
          <w:color w:val="000000"/>
          <w:sz w:val="32"/>
          <w:szCs w:val="32"/>
          <w:lang w:val="en-US" w:eastAsia="zh-CN"/>
        </w:rPr>
        <w:t>第四</w:t>
      </w:r>
      <w:r>
        <w:rPr>
          <w:rFonts w:hint="eastAsia" w:ascii="楷体_GB2312" w:hAnsi="Times New Roman" w:eastAsia="楷体_GB2312" w:cs="Times New Roman"/>
          <w:color w:val="000000"/>
          <w:sz w:val="32"/>
          <w:szCs w:val="32"/>
          <w:lang w:val="en-US" w:eastAsia="zh-CN"/>
        </w:rPr>
        <w:t>节</w:t>
      </w:r>
      <w:r>
        <w:rPr>
          <w:rFonts w:hint="default" w:ascii="楷体_GB2312" w:hAnsi="Times New Roman" w:eastAsia="楷体_GB2312" w:cs="Times New Roman"/>
          <w:color w:val="000000"/>
          <w:sz w:val="32"/>
          <w:szCs w:val="32"/>
          <w:lang w:val="en-US" w:eastAsia="zh-CN"/>
        </w:rPr>
        <w:t xml:space="preserve"> 休假管理</w:t>
      </w:r>
    </w:p>
    <w:p w14:paraId="2B301450">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楷体_GB2312" w:hAnsi="Times New Roman" w:eastAsia="楷体_GB2312" w:cs="Times New Roman"/>
          <w:color w:val="000000"/>
          <w:sz w:val="32"/>
          <w:szCs w:val="32"/>
          <w:lang w:val="en-US" w:eastAsia="zh-CN"/>
        </w:rPr>
        <w:t>第</w:t>
      </w:r>
      <w:r>
        <w:rPr>
          <w:rFonts w:hint="eastAsia" w:ascii="楷体_GB2312" w:hAnsi="Times New Roman" w:eastAsia="楷体_GB2312" w:cs="Times New Roman"/>
          <w:color w:val="000000"/>
          <w:sz w:val="32"/>
          <w:szCs w:val="32"/>
          <w:lang w:val="en-US" w:eastAsia="zh-CN"/>
        </w:rPr>
        <w:t>四十条</w:t>
      </w:r>
      <w:r>
        <w:rPr>
          <w:rFonts w:hint="default" w:ascii="仿宋_GB2312" w:hAnsi="Times New Roman" w:eastAsia="仿宋_GB2312" w:cs="Times New Roman"/>
          <w:sz w:val="32"/>
          <w:szCs w:val="32"/>
          <w:lang w:val="en-US" w:eastAsia="zh-CN"/>
        </w:rPr>
        <w:t xml:space="preserve"> 所有假别须由本人发起申请流程，并获得审批。</w:t>
      </w:r>
    </w:p>
    <w:p w14:paraId="056871E6">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（一）请假时间为1日（含）以内的，报直接领导批准。</w:t>
      </w:r>
    </w:p>
    <w:p w14:paraId="4A09B9C8">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（二）请假时间1日（不含）以上的，经直接领导同意后，报上一级领导批准。</w:t>
      </w:r>
    </w:p>
    <w:p w14:paraId="78C03517">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楷体_GB2312" w:hAnsi="Times New Roman" w:eastAsia="楷体_GB2312" w:cs="Times New Roman"/>
          <w:color w:val="000000"/>
          <w:sz w:val="32"/>
          <w:szCs w:val="32"/>
          <w:lang w:val="en-US" w:eastAsia="zh-CN"/>
        </w:rPr>
        <w:t>第</w:t>
      </w:r>
      <w:r>
        <w:rPr>
          <w:rFonts w:hint="eastAsia" w:ascii="楷体_GB2312" w:hAnsi="Times New Roman" w:eastAsia="楷体_GB2312" w:cs="Times New Roman"/>
          <w:color w:val="000000"/>
          <w:sz w:val="32"/>
          <w:szCs w:val="32"/>
          <w:lang w:val="en-US" w:eastAsia="zh-CN"/>
        </w:rPr>
        <w:t>四十一</w:t>
      </w:r>
      <w:r>
        <w:rPr>
          <w:rFonts w:hint="default" w:ascii="楷体_GB2312" w:hAnsi="Times New Roman" w:eastAsia="楷体_GB2312" w:cs="Times New Roman"/>
          <w:color w:val="000000"/>
          <w:sz w:val="32"/>
          <w:szCs w:val="32"/>
          <w:lang w:val="en-US" w:eastAsia="zh-CN"/>
        </w:rPr>
        <w:t>条</w:t>
      </w:r>
      <w:r>
        <w:rPr>
          <w:rFonts w:hint="default" w:ascii="仿宋_GB2312" w:hAnsi="Times New Roman" w:eastAsia="仿宋_GB2312" w:cs="Times New Roman"/>
          <w:sz w:val="32"/>
          <w:szCs w:val="32"/>
          <w:lang w:val="en-US" w:eastAsia="zh-CN"/>
        </w:rPr>
        <w:t xml:space="preserve"> 年休假</w:t>
      </w:r>
    </w:p>
    <w:p w14:paraId="5A1FB6B3">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（一）基金会已转正员工，满足工龄条件的，均可享受带薪年休假；年假统计年度为</w:t>
      </w:r>
      <w:r>
        <w:rPr>
          <w:rFonts w:hint="eastAsia" w:ascii="仿宋_GB2312" w:hAnsi="Times New Roman" w:eastAsia="仿宋_GB2312" w:cs="Times New Roman"/>
          <w:sz w:val="32"/>
          <w:szCs w:val="32"/>
          <w:lang w:val="en-US" w:eastAsia="zh-CN"/>
        </w:rPr>
        <w:t>自然</w:t>
      </w:r>
      <w:r>
        <w:rPr>
          <w:rFonts w:hint="default" w:ascii="仿宋_GB2312" w:hAnsi="Times New Roman" w:eastAsia="仿宋_GB2312" w:cs="Times New Roman"/>
          <w:sz w:val="32"/>
          <w:szCs w:val="32"/>
          <w:lang w:val="en-US" w:eastAsia="zh-CN"/>
        </w:rPr>
        <w:t>年，自1月1日起至12月31日结束。</w:t>
      </w:r>
    </w:p>
    <w:p w14:paraId="56A32F3A">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（二）员工累计工作已满1年不满10年的，年休假5天；已满10年不满20年的，年休假10天；已满20年的，年休假15天。连续工龄计算以职工社保缴纳的起始时间为准。</w:t>
      </w:r>
    </w:p>
    <w:p w14:paraId="1C452803">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（三）员工的年休假须至少提前发起请假流程，并安排好休假期间的工作衔接。如果员工希望获得</w:t>
      </w:r>
      <w:r>
        <w:rPr>
          <w:rFonts w:hint="eastAsia" w:ascii="仿宋_GB2312" w:hAnsi="Times New Roman" w:eastAsia="仿宋_GB2312" w:cs="Times New Roman"/>
          <w:sz w:val="32"/>
          <w:szCs w:val="32"/>
          <w:lang w:val="en-US" w:eastAsia="zh-CN"/>
        </w:rPr>
        <w:t>3</w:t>
      </w:r>
      <w:r>
        <w:rPr>
          <w:rFonts w:hint="default" w:ascii="仿宋_GB2312" w:hAnsi="Times New Roman" w:eastAsia="仿宋_GB2312" w:cs="Times New Roman"/>
          <w:sz w:val="32"/>
          <w:szCs w:val="32"/>
          <w:lang w:val="en-US" w:eastAsia="zh-CN"/>
        </w:rPr>
        <w:t>天以内的假期，须提前</w:t>
      </w:r>
      <w:r>
        <w:rPr>
          <w:rFonts w:hint="eastAsia" w:ascii="仿宋_GB2312" w:hAnsi="Times New Roman" w:eastAsia="仿宋_GB2312" w:cs="Times New Roman"/>
          <w:sz w:val="32"/>
          <w:szCs w:val="32"/>
          <w:lang w:val="en-US" w:eastAsia="zh-CN"/>
        </w:rPr>
        <w:t>3</w:t>
      </w:r>
      <w:r>
        <w:rPr>
          <w:rFonts w:hint="default" w:ascii="仿宋_GB2312" w:hAnsi="Times New Roman" w:eastAsia="仿宋_GB2312" w:cs="Times New Roman"/>
          <w:sz w:val="32"/>
          <w:szCs w:val="32"/>
          <w:lang w:val="en-US" w:eastAsia="zh-CN"/>
        </w:rPr>
        <w:t>天提出申请；如需</w:t>
      </w:r>
      <w:r>
        <w:rPr>
          <w:rFonts w:hint="eastAsia" w:ascii="仿宋_GB2312" w:hAnsi="Times New Roman" w:eastAsia="仿宋_GB2312" w:cs="Times New Roman"/>
          <w:sz w:val="32"/>
          <w:szCs w:val="32"/>
          <w:lang w:val="en-US" w:eastAsia="zh-CN"/>
        </w:rPr>
        <w:t>5</w:t>
      </w:r>
      <w:r>
        <w:rPr>
          <w:rFonts w:hint="default" w:ascii="仿宋_GB2312" w:hAnsi="Times New Roman" w:eastAsia="仿宋_GB2312" w:cs="Times New Roman"/>
          <w:sz w:val="32"/>
          <w:szCs w:val="32"/>
          <w:lang w:val="en-US" w:eastAsia="zh-CN"/>
        </w:rPr>
        <w:t>天以内的假期，须提前一周申请；如需</w:t>
      </w:r>
      <w:r>
        <w:rPr>
          <w:rFonts w:hint="eastAsia" w:ascii="仿宋_GB2312" w:hAnsi="Times New Roman" w:eastAsia="仿宋_GB2312" w:cs="Times New Roman"/>
          <w:sz w:val="32"/>
          <w:szCs w:val="32"/>
          <w:lang w:val="en-US" w:eastAsia="zh-CN"/>
        </w:rPr>
        <w:t>5</w:t>
      </w:r>
      <w:r>
        <w:rPr>
          <w:rFonts w:hint="default" w:ascii="仿宋_GB2312" w:hAnsi="Times New Roman" w:eastAsia="仿宋_GB2312" w:cs="Times New Roman"/>
          <w:sz w:val="32"/>
          <w:szCs w:val="32"/>
          <w:lang w:val="en-US" w:eastAsia="zh-CN"/>
        </w:rPr>
        <w:t>至</w:t>
      </w:r>
      <w:r>
        <w:rPr>
          <w:rFonts w:hint="eastAsia" w:ascii="仿宋_GB2312" w:hAnsi="Times New Roman" w:eastAsia="仿宋_GB2312" w:cs="Times New Roman"/>
          <w:sz w:val="32"/>
          <w:szCs w:val="32"/>
          <w:lang w:val="en-US" w:eastAsia="zh-CN"/>
        </w:rPr>
        <w:t>10</w:t>
      </w:r>
      <w:r>
        <w:rPr>
          <w:rFonts w:hint="default" w:ascii="仿宋_GB2312" w:hAnsi="Times New Roman" w:eastAsia="仿宋_GB2312" w:cs="Times New Roman"/>
          <w:sz w:val="32"/>
          <w:szCs w:val="32"/>
          <w:lang w:val="en-US" w:eastAsia="zh-CN"/>
        </w:rPr>
        <w:t>天的假期，须提前两周申请；如需</w:t>
      </w:r>
      <w:r>
        <w:rPr>
          <w:rFonts w:hint="eastAsia" w:ascii="仿宋_GB2312" w:hAnsi="Times New Roman" w:eastAsia="仿宋_GB2312" w:cs="Times New Roman"/>
          <w:sz w:val="32"/>
          <w:szCs w:val="32"/>
          <w:lang w:val="en-US" w:eastAsia="zh-CN"/>
        </w:rPr>
        <w:t>10</w:t>
      </w:r>
      <w:r>
        <w:rPr>
          <w:rFonts w:hint="default" w:ascii="仿宋_GB2312" w:hAnsi="Times New Roman" w:eastAsia="仿宋_GB2312" w:cs="Times New Roman"/>
          <w:sz w:val="32"/>
          <w:szCs w:val="32"/>
          <w:lang w:val="en-US" w:eastAsia="zh-CN"/>
        </w:rPr>
        <w:t>天以上的假期，须提前</w:t>
      </w:r>
      <w:r>
        <w:rPr>
          <w:rFonts w:hint="eastAsia" w:ascii="仿宋_GB2312" w:hAnsi="Times New Roman" w:eastAsia="仿宋_GB2312" w:cs="Times New Roman"/>
          <w:sz w:val="32"/>
          <w:szCs w:val="32"/>
          <w:lang w:val="en-US" w:eastAsia="zh-CN"/>
        </w:rPr>
        <w:t>1</w:t>
      </w:r>
      <w:r>
        <w:rPr>
          <w:rFonts w:hint="default" w:ascii="仿宋_GB2312" w:hAnsi="Times New Roman" w:eastAsia="仿宋_GB2312" w:cs="Times New Roman"/>
          <w:sz w:val="32"/>
          <w:szCs w:val="32"/>
          <w:lang w:val="en-US" w:eastAsia="zh-CN"/>
        </w:rPr>
        <w:t>个月申请。</w:t>
      </w:r>
    </w:p>
    <w:p w14:paraId="5F023763">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（四）年休假须在12月31日前休完，不能跨年度累计，逾期不再安排补休。</w:t>
      </w:r>
    </w:p>
    <w:p w14:paraId="5150E3B3">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（五）员工入职/离职当年可享用的年假天数按员工当年实际在职天数比例计算；所有员工在转正后方可享受带薪假期。</w:t>
      </w:r>
    </w:p>
    <w:p w14:paraId="7F6771A4">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年假换算公式如下表：</w:t>
      </w:r>
    </w:p>
    <w:tbl>
      <w:tblPr>
        <w:tblStyle w:val="3"/>
        <w:tblW w:w="8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28" w:type="dxa"/>
          <w:right w:w="108" w:type="dxa"/>
        </w:tblCellMar>
      </w:tblPr>
      <w:tblGrid>
        <w:gridCol w:w="3776"/>
        <w:gridCol w:w="4843"/>
      </w:tblGrid>
      <w:tr w14:paraId="0A338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28" w:type="dxa"/>
            <w:right w:w="108" w:type="dxa"/>
          </w:tblCellMar>
        </w:tblPrEx>
        <w:trPr>
          <w:trHeight w:val="566" w:hRule="atLeast"/>
        </w:trPr>
        <w:tc>
          <w:tcPr>
            <w:tcW w:w="3776" w:type="dxa"/>
            <w:vAlign w:val="center"/>
          </w:tcPr>
          <w:p w14:paraId="6FF70B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80" w:firstLineChars="200"/>
              <w:textAlignment w:val="auto"/>
              <w:rPr>
                <w:rFonts w:hint="eastAsia" w:ascii="仿宋_GB2312" w:hAnsi="黑体" w:eastAsia="仿宋_GB2312" w:cs="Times New Roman"/>
                <w:color w:val="000000"/>
                <w:sz w:val="24"/>
                <w:szCs w:val="20"/>
                <w:lang w:val="en-US" w:eastAsia="zh-CN"/>
              </w:rPr>
            </w:pPr>
            <w:r>
              <w:rPr>
                <w:rFonts w:hint="eastAsia" w:ascii="仿宋_GB2312" w:hAnsi="黑体" w:eastAsia="仿宋_GB2312" w:cs="Times New Roman"/>
                <w:color w:val="000000"/>
                <w:sz w:val="24"/>
                <w:szCs w:val="20"/>
                <w:lang w:val="en-US" w:eastAsia="zh-CN"/>
              </w:rPr>
              <w:t>连续工作年限不满1年的</w:t>
            </w:r>
          </w:p>
        </w:tc>
        <w:tc>
          <w:tcPr>
            <w:tcW w:w="4843" w:type="dxa"/>
            <w:vAlign w:val="center"/>
          </w:tcPr>
          <w:p w14:paraId="2AE6E5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80" w:firstLineChars="200"/>
              <w:textAlignment w:val="auto"/>
              <w:rPr>
                <w:rFonts w:hint="eastAsia" w:ascii="仿宋_GB2312" w:hAnsi="黑体" w:eastAsia="仿宋_GB2312" w:cs="Times New Roman"/>
                <w:color w:val="000000"/>
                <w:sz w:val="24"/>
                <w:szCs w:val="20"/>
                <w:lang w:val="en-US" w:eastAsia="zh-CN"/>
              </w:rPr>
            </w:pPr>
            <w:r>
              <w:rPr>
                <w:rFonts w:hint="eastAsia" w:ascii="仿宋_GB2312" w:hAnsi="黑体" w:eastAsia="仿宋_GB2312" w:cs="Times New Roman"/>
                <w:color w:val="000000"/>
                <w:sz w:val="24"/>
                <w:szCs w:val="20"/>
                <w:lang w:val="en-US" w:eastAsia="zh-CN"/>
              </w:rPr>
              <w:t>无年休假</w:t>
            </w:r>
          </w:p>
        </w:tc>
      </w:tr>
      <w:tr w14:paraId="27E5C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28" w:type="dxa"/>
            <w:right w:w="108" w:type="dxa"/>
          </w:tblCellMar>
        </w:tblPrEx>
        <w:trPr>
          <w:trHeight w:val="726" w:hRule="atLeast"/>
        </w:trPr>
        <w:tc>
          <w:tcPr>
            <w:tcW w:w="3776" w:type="dxa"/>
            <w:vAlign w:val="center"/>
          </w:tcPr>
          <w:p w14:paraId="3412E5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80" w:firstLineChars="200"/>
              <w:textAlignment w:val="auto"/>
              <w:rPr>
                <w:rFonts w:hint="eastAsia" w:ascii="仿宋_GB2312" w:hAnsi="黑体" w:eastAsia="仿宋_GB2312" w:cs="Times New Roman"/>
                <w:color w:val="000000"/>
                <w:sz w:val="24"/>
                <w:szCs w:val="20"/>
                <w:lang w:val="en-US" w:eastAsia="zh-CN"/>
              </w:rPr>
            </w:pPr>
            <w:r>
              <w:rPr>
                <w:rFonts w:hint="eastAsia" w:ascii="仿宋_GB2312" w:hAnsi="黑体" w:eastAsia="仿宋_GB2312" w:cs="Times New Roman"/>
                <w:color w:val="000000"/>
                <w:sz w:val="24"/>
                <w:szCs w:val="20"/>
                <w:lang w:val="en-US" w:eastAsia="zh-CN"/>
              </w:rPr>
              <w:t>工作已满1年不满10年的</w:t>
            </w:r>
          </w:p>
        </w:tc>
        <w:tc>
          <w:tcPr>
            <w:tcW w:w="4843" w:type="dxa"/>
            <w:vAlign w:val="center"/>
          </w:tcPr>
          <w:p w14:paraId="226A52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80" w:firstLineChars="200"/>
              <w:textAlignment w:val="auto"/>
              <w:rPr>
                <w:rFonts w:hint="eastAsia" w:ascii="仿宋_GB2312" w:hAnsi="黑体" w:eastAsia="仿宋_GB2312" w:cs="Times New Roman"/>
                <w:color w:val="000000"/>
                <w:sz w:val="24"/>
                <w:szCs w:val="20"/>
                <w:lang w:val="en-US" w:eastAsia="zh-CN"/>
              </w:rPr>
            </w:pPr>
            <w:r>
              <w:rPr>
                <w:rFonts w:hint="eastAsia" w:ascii="仿宋_GB2312" w:hAnsi="黑体" w:eastAsia="仿宋_GB2312" w:cs="Times New Roman"/>
                <w:color w:val="000000"/>
                <w:sz w:val="24"/>
                <w:szCs w:val="20"/>
                <w:lang w:val="en-US" w:eastAsia="zh-CN"/>
              </w:rPr>
              <w:t>年休假5天</w:t>
            </w:r>
          </w:p>
          <w:p w14:paraId="52A81C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80" w:firstLineChars="200"/>
              <w:textAlignment w:val="auto"/>
              <w:rPr>
                <w:rFonts w:hint="eastAsia" w:ascii="仿宋_GB2312" w:hAnsi="黑体" w:eastAsia="仿宋_GB2312" w:cs="Times New Roman"/>
                <w:color w:val="000000"/>
                <w:sz w:val="24"/>
                <w:szCs w:val="20"/>
                <w:lang w:val="en-US" w:eastAsia="zh-CN"/>
              </w:rPr>
            </w:pPr>
            <w:r>
              <w:rPr>
                <w:rFonts w:hint="eastAsia" w:ascii="仿宋_GB2312" w:hAnsi="黑体" w:eastAsia="仿宋_GB2312" w:cs="Times New Roman"/>
                <w:color w:val="000000"/>
                <w:sz w:val="24"/>
                <w:szCs w:val="20"/>
                <w:lang w:val="en-US" w:eastAsia="zh-CN"/>
              </w:rPr>
              <w:t>5÷365×（365-入职前自然日天数）</w:t>
            </w:r>
          </w:p>
        </w:tc>
      </w:tr>
      <w:tr w14:paraId="49533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28" w:type="dxa"/>
            <w:right w:w="108" w:type="dxa"/>
          </w:tblCellMar>
        </w:tblPrEx>
        <w:trPr>
          <w:trHeight w:val="772" w:hRule="atLeast"/>
        </w:trPr>
        <w:tc>
          <w:tcPr>
            <w:tcW w:w="3776" w:type="dxa"/>
            <w:vAlign w:val="center"/>
          </w:tcPr>
          <w:p w14:paraId="56B6C4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80" w:firstLineChars="200"/>
              <w:textAlignment w:val="auto"/>
              <w:rPr>
                <w:rFonts w:hint="eastAsia" w:ascii="仿宋_GB2312" w:hAnsi="黑体" w:eastAsia="仿宋_GB2312" w:cs="Times New Roman"/>
                <w:color w:val="000000"/>
                <w:sz w:val="24"/>
                <w:szCs w:val="20"/>
                <w:lang w:val="en-US" w:eastAsia="zh-CN"/>
              </w:rPr>
            </w:pPr>
            <w:r>
              <w:rPr>
                <w:rFonts w:hint="eastAsia" w:ascii="仿宋_GB2312" w:hAnsi="黑体" w:eastAsia="仿宋_GB2312" w:cs="Times New Roman"/>
                <w:color w:val="000000"/>
                <w:sz w:val="24"/>
                <w:szCs w:val="20"/>
                <w:lang w:val="en-US" w:eastAsia="zh-CN"/>
              </w:rPr>
              <w:t>已满10年不满20年的</w:t>
            </w:r>
          </w:p>
        </w:tc>
        <w:tc>
          <w:tcPr>
            <w:tcW w:w="4843" w:type="dxa"/>
            <w:vAlign w:val="center"/>
          </w:tcPr>
          <w:p w14:paraId="17FD54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80" w:firstLineChars="200"/>
              <w:textAlignment w:val="auto"/>
              <w:rPr>
                <w:rFonts w:hint="eastAsia" w:ascii="仿宋_GB2312" w:hAnsi="黑体" w:eastAsia="仿宋_GB2312" w:cs="Times New Roman"/>
                <w:color w:val="000000"/>
                <w:sz w:val="24"/>
                <w:szCs w:val="20"/>
                <w:lang w:val="en-US" w:eastAsia="zh-CN"/>
              </w:rPr>
            </w:pPr>
            <w:r>
              <w:rPr>
                <w:rFonts w:hint="eastAsia" w:ascii="仿宋_GB2312" w:hAnsi="黑体" w:eastAsia="仿宋_GB2312" w:cs="Times New Roman"/>
                <w:color w:val="000000"/>
                <w:sz w:val="24"/>
                <w:szCs w:val="20"/>
                <w:lang w:val="en-US" w:eastAsia="zh-CN"/>
              </w:rPr>
              <w:t>年休假10天</w:t>
            </w:r>
          </w:p>
          <w:p w14:paraId="2F0B90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80" w:firstLineChars="200"/>
              <w:textAlignment w:val="auto"/>
              <w:rPr>
                <w:rFonts w:hint="eastAsia" w:ascii="仿宋_GB2312" w:hAnsi="黑体" w:eastAsia="仿宋_GB2312" w:cs="Times New Roman"/>
                <w:color w:val="000000"/>
                <w:sz w:val="24"/>
                <w:szCs w:val="20"/>
                <w:lang w:val="en-US" w:eastAsia="zh-CN"/>
              </w:rPr>
            </w:pPr>
            <w:r>
              <w:rPr>
                <w:rFonts w:hint="eastAsia" w:ascii="仿宋_GB2312" w:hAnsi="黑体" w:eastAsia="仿宋_GB2312" w:cs="Times New Roman"/>
                <w:color w:val="000000"/>
                <w:sz w:val="24"/>
                <w:szCs w:val="20"/>
                <w:lang w:val="en-US" w:eastAsia="zh-CN"/>
              </w:rPr>
              <w:t>10÷365×（365-入职前自然日天数）</w:t>
            </w:r>
          </w:p>
        </w:tc>
      </w:tr>
      <w:tr w14:paraId="6FC1D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28" w:type="dxa"/>
            <w:right w:w="108" w:type="dxa"/>
          </w:tblCellMar>
        </w:tblPrEx>
        <w:trPr>
          <w:trHeight w:val="761" w:hRule="atLeast"/>
        </w:trPr>
        <w:tc>
          <w:tcPr>
            <w:tcW w:w="3776" w:type="dxa"/>
            <w:vAlign w:val="center"/>
          </w:tcPr>
          <w:p w14:paraId="469198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80" w:firstLineChars="200"/>
              <w:textAlignment w:val="auto"/>
              <w:rPr>
                <w:rFonts w:hint="eastAsia" w:ascii="仿宋_GB2312" w:hAnsi="黑体" w:eastAsia="仿宋_GB2312" w:cs="Times New Roman"/>
                <w:color w:val="000000"/>
                <w:sz w:val="24"/>
                <w:szCs w:val="20"/>
                <w:lang w:val="en-US" w:eastAsia="zh-CN"/>
              </w:rPr>
            </w:pPr>
            <w:r>
              <w:rPr>
                <w:rFonts w:hint="eastAsia" w:ascii="仿宋_GB2312" w:hAnsi="黑体" w:eastAsia="仿宋_GB2312" w:cs="Times New Roman"/>
                <w:color w:val="000000"/>
                <w:sz w:val="24"/>
                <w:szCs w:val="20"/>
                <w:lang w:val="en-US" w:eastAsia="zh-CN"/>
              </w:rPr>
              <w:t>已满20年的</w:t>
            </w:r>
          </w:p>
        </w:tc>
        <w:tc>
          <w:tcPr>
            <w:tcW w:w="4843" w:type="dxa"/>
            <w:vAlign w:val="center"/>
          </w:tcPr>
          <w:p w14:paraId="087051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80" w:firstLineChars="200"/>
              <w:textAlignment w:val="auto"/>
              <w:rPr>
                <w:rFonts w:hint="eastAsia" w:ascii="仿宋_GB2312" w:hAnsi="黑体" w:eastAsia="仿宋_GB2312" w:cs="Times New Roman"/>
                <w:color w:val="000000"/>
                <w:sz w:val="24"/>
                <w:szCs w:val="20"/>
                <w:lang w:val="en-US" w:eastAsia="zh-CN"/>
              </w:rPr>
            </w:pPr>
            <w:r>
              <w:rPr>
                <w:rFonts w:hint="eastAsia" w:ascii="仿宋_GB2312" w:hAnsi="黑体" w:eastAsia="仿宋_GB2312" w:cs="Times New Roman"/>
                <w:color w:val="000000"/>
                <w:sz w:val="24"/>
                <w:szCs w:val="20"/>
                <w:lang w:val="en-US" w:eastAsia="zh-CN"/>
              </w:rPr>
              <w:t>年休假15天</w:t>
            </w:r>
          </w:p>
          <w:p w14:paraId="52CC7A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80" w:firstLineChars="200"/>
              <w:textAlignment w:val="auto"/>
              <w:rPr>
                <w:rFonts w:hint="eastAsia" w:ascii="仿宋_GB2312" w:hAnsi="黑体" w:eastAsia="仿宋_GB2312" w:cs="Times New Roman"/>
                <w:color w:val="000000"/>
                <w:sz w:val="24"/>
                <w:szCs w:val="20"/>
                <w:lang w:val="en-US" w:eastAsia="zh-CN"/>
              </w:rPr>
            </w:pPr>
            <w:r>
              <w:rPr>
                <w:rFonts w:hint="eastAsia" w:ascii="仿宋_GB2312" w:hAnsi="黑体" w:eastAsia="仿宋_GB2312" w:cs="Times New Roman"/>
                <w:color w:val="000000"/>
                <w:sz w:val="24"/>
                <w:szCs w:val="20"/>
                <w:lang w:val="en-US" w:eastAsia="zh-CN"/>
              </w:rPr>
              <w:t>15÷365×（365-入职前自然日天数）</w:t>
            </w:r>
          </w:p>
        </w:tc>
      </w:tr>
    </w:tbl>
    <w:p w14:paraId="71BFDFA1">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（六）在12月31日前未满试用期的新员工，其应享有的年假可被自动转入下一年度。</w:t>
      </w:r>
    </w:p>
    <w:p w14:paraId="740A63F0">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（七）劳动合同终止时，未休的年休假需在交接工作完成的前提下，经秘书长审批同意方可使用。</w:t>
      </w:r>
    </w:p>
    <w:p w14:paraId="79B9AB02">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（八）以下情况，不享有当年的年休假：</w:t>
      </w:r>
    </w:p>
    <w:p w14:paraId="54D0E2B3">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1.累计工作满1年不满10年，休病假或事假累计2个月以上的；</w:t>
      </w:r>
    </w:p>
    <w:p w14:paraId="422B0F90">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2.累计工作满10年不满20年，休病假或事假累计3个月以上的；</w:t>
      </w:r>
    </w:p>
    <w:p w14:paraId="176F9FC2">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累计工作满20年以上，休病假或事假4个月以上的。</w:t>
      </w:r>
    </w:p>
    <w:p w14:paraId="38A1DF5C">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楷体_GB2312" w:hAnsi="Times New Roman" w:eastAsia="楷体_GB2312" w:cs="Times New Roman"/>
          <w:color w:val="000000"/>
          <w:sz w:val="32"/>
          <w:szCs w:val="32"/>
          <w:lang w:val="en-US" w:eastAsia="zh-CN"/>
        </w:rPr>
        <w:t>第</w:t>
      </w:r>
      <w:r>
        <w:rPr>
          <w:rFonts w:hint="eastAsia" w:ascii="楷体_GB2312" w:hAnsi="Times New Roman" w:eastAsia="楷体_GB2312" w:cs="Times New Roman"/>
          <w:color w:val="000000"/>
          <w:sz w:val="32"/>
          <w:szCs w:val="32"/>
          <w:lang w:val="en-US" w:eastAsia="zh-CN"/>
        </w:rPr>
        <w:t>四十二</w:t>
      </w:r>
      <w:r>
        <w:rPr>
          <w:rFonts w:hint="default" w:ascii="楷体_GB2312" w:hAnsi="Times New Roman" w:eastAsia="楷体_GB2312" w:cs="Times New Roman"/>
          <w:color w:val="000000"/>
          <w:sz w:val="32"/>
          <w:szCs w:val="32"/>
          <w:lang w:val="en-US" w:eastAsia="zh-CN"/>
        </w:rPr>
        <w:t xml:space="preserve">条 </w:t>
      </w:r>
      <w:r>
        <w:rPr>
          <w:rFonts w:hint="eastAsia" w:ascii="仿宋_GB2312" w:hAnsi="Times New Roman" w:eastAsia="仿宋_GB2312" w:cs="Times New Roman"/>
          <w:sz w:val="32"/>
          <w:szCs w:val="32"/>
          <w:lang w:val="en-US" w:eastAsia="zh-CN"/>
        </w:rPr>
        <w:t>病</w:t>
      </w:r>
      <w:r>
        <w:rPr>
          <w:rFonts w:hint="default" w:ascii="仿宋_GB2312" w:hAnsi="Times New Roman" w:eastAsia="仿宋_GB2312" w:cs="Times New Roman"/>
          <w:sz w:val="32"/>
          <w:szCs w:val="32"/>
          <w:lang w:val="en-US" w:eastAsia="zh-CN"/>
        </w:rPr>
        <w:t>假</w:t>
      </w:r>
    </w:p>
    <w:p w14:paraId="39B978FA">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员工因病或非因工负伤。</w:t>
      </w:r>
    </w:p>
    <w:p w14:paraId="058EEEF0">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（一）病假在六个月以内的，按其连续工龄的长短发给病假工资。其标准为：连续工龄不满</w:t>
      </w:r>
      <w:r>
        <w:rPr>
          <w:rFonts w:hint="eastAsia" w:ascii="仿宋_GB2312" w:hAnsi="Times New Roman" w:eastAsia="仿宋_GB2312" w:cs="Times New Roman"/>
          <w:sz w:val="32"/>
          <w:szCs w:val="32"/>
          <w:lang w:val="en-US" w:eastAsia="zh-CN"/>
        </w:rPr>
        <w:t>10</w:t>
      </w:r>
      <w:r>
        <w:rPr>
          <w:rFonts w:hint="default" w:ascii="仿宋_GB2312" w:hAnsi="Times New Roman" w:eastAsia="仿宋_GB2312" w:cs="Times New Roman"/>
          <w:sz w:val="32"/>
          <w:szCs w:val="32"/>
          <w:lang w:val="en-US" w:eastAsia="zh-CN"/>
        </w:rPr>
        <w:t>年的，为本人工资（不包括加班工资、奖金、津贴，下同）的</w:t>
      </w:r>
      <w:r>
        <w:rPr>
          <w:rFonts w:hint="eastAsia" w:ascii="仿宋_GB2312" w:hAnsi="Times New Roman" w:eastAsia="仿宋_GB2312" w:cs="Times New Roman"/>
          <w:sz w:val="32"/>
          <w:szCs w:val="32"/>
          <w:lang w:val="en-US" w:eastAsia="zh-CN"/>
        </w:rPr>
        <w:t>50%</w:t>
      </w:r>
      <w:r>
        <w:rPr>
          <w:rFonts w:hint="default" w:ascii="仿宋_GB2312" w:hAnsi="Times New Roman" w:eastAsia="仿宋_GB2312" w:cs="Times New Roman"/>
          <w:sz w:val="32"/>
          <w:szCs w:val="32"/>
          <w:lang w:val="en-US" w:eastAsia="zh-CN"/>
        </w:rPr>
        <w:t>；连续工龄满</w:t>
      </w:r>
      <w:r>
        <w:rPr>
          <w:rFonts w:hint="eastAsia" w:ascii="仿宋_GB2312" w:hAnsi="Times New Roman" w:eastAsia="仿宋_GB2312" w:cs="Times New Roman"/>
          <w:sz w:val="32"/>
          <w:szCs w:val="32"/>
          <w:lang w:val="en-US" w:eastAsia="zh-CN"/>
        </w:rPr>
        <w:t>10</w:t>
      </w:r>
      <w:r>
        <w:rPr>
          <w:rFonts w:hint="default" w:ascii="仿宋_GB2312" w:hAnsi="Times New Roman" w:eastAsia="仿宋_GB2312" w:cs="Times New Roman"/>
          <w:sz w:val="32"/>
          <w:szCs w:val="32"/>
          <w:lang w:val="en-US" w:eastAsia="zh-CN"/>
        </w:rPr>
        <w:t>年不满</w:t>
      </w:r>
      <w:r>
        <w:rPr>
          <w:rFonts w:hint="eastAsia" w:ascii="仿宋_GB2312" w:hAnsi="Times New Roman" w:eastAsia="仿宋_GB2312" w:cs="Times New Roman"/>
          <w:sz w:val="32"/>
          <w:szCs w:val="32"/>
          <w:lang w:val="en-US" w:eastAsia="zh-CN"/>
        </w:rPr>
        <w:t>20</w:t>
      </w:r>
      <w:r>
        <w:rPr>
          <w:rFonts w:hint="default" w:ascii="仿宋_GB2312" w:hAnsi="Times New Roman" w:eastAsia="仿宋_GB2312" w:cs="Times New Roman"/>
          <w:sz w:val="32"/>
          <w:szCs w:val="32"/>
          <w:lang w:val="en-US" w:eastAsia="zh-CN"/>
        </w:rPr>
        <w:t>年的，为本人工资的</w:t>
      </w:r>
      <w:r>
        <w:rPr>
          <w:rFonts w:hint="eastAsia" w:ascii="仿宋_GB2312" w:hAnsi="Times New Roman" w:eastAsia="仿宋_GB2312" w:cs="Times New Roman"/>
          <w:sz w:val="32"/>
          <w:szCs w:val="32"/>
          <w:lang w:val="en-US" w:eastAsia="zh-CN"/>
        </w:rPr>
        <w:t>60%</w:t>
      </w:r>
      <w:r>
        <w:rPr>
          <w:rFonts w:hint="default" w:ascii="仿宋_GB2312" w:hAnsi="Times New Roman" w:eastAsia="仿宋_GB2312" w:cs="Times New Roman"/>
          <w:sz w:val="32"/>
          <w:szCs w:val="32"/>
          <w:lang w:val="en-US" w:eastAsia="zh-CN"/>
        </w:rPr>
        <w:t>；连续工龄满</w:t>
      </w:r>
      <w:r>
        <w:rPr>
          <w:rFonts w:hint="eastAsia" w:ascii="仿宋_GB2312" w:hAnsi="Times New Roman" w:eastAsia="仿宋_GB2312" w:cs="Times New Roman"/>
          <w:sz w:val="32"/>
          <w:szCs w:val="32"/>
          <w:lang w:val="en-US" w:eastAsia="zh-CN"/>
        </w:rPr>
        <w:t>20</w:t>
      </w:r>
      <w:r>
        <w:rPr>
          <w:rFonts w:hint="default" w:ascii="仿宋_GB2312" w:hAnsi="Times New Roman" w:eastAsia="仿宋_GB2312" w:cs="Times New Roman"/>
          <w:sz w:val="32"/>
          <w:szCs w:val="32"/>
          <w:lang w:val="en-US" w:eastAsia="zh-CN"/>
        </w:rPr>
        <w:t>年不满</w:t>
      </w:r>
      <w:r>
        <w:rPr>
          <w:rFonts w:hint="eastAsia" w:ascii="仿宋_GB2312" w:hAnsi="Times New Roman" w:eastAsia="仿宋_GB2312" w:cs="Times New Roman"/>
          <w:sz w:val="32"/>
          <w:szCs w:val="32"/>
          <w:lang w:val="en-US" w:eastAsia="zh-CN"/>
        </w:rPr>
        <w:t>30</w:t>
      </w:r>
      <w:r>
        <w:rPr>
          <w:rFonts w:hint="default" w:ascii="仿宋_GB2312" w:hAnsi="Times New Roman" w:eastAsia="仿宋_GB2312" w:cs="Times New Roman"/>
          <w:sz w:val="32"/>
          <w:szCs w:val="32"/>
          <w:lang w:val="en-US" w:eastAsia="zh-CN"/>
        </w:rPr>
        <w:t>年的为本人工资的</w:t>
      </w:r>
      <w:r>
        <w:rPr>
          <w:rFonts w:hint="eastAsia" w:ascii="仿宋_GB2312" w:hAnsi="Times New Roman" w:eastAsia="仿宋_GB2312" w:cs="Times New Roman"/>
          <w:sz w:val="32"/>
          <w:szCs w:val="32"/>
          <w:lang w:val="en-US" w:eastAsia="zh-CN"/>
        </w:rPr>
        <w:t>70%</w:t>
      </w:r>
      <w:r>
        <w:rPr>
          <w:rFonts w:hint="default" w:ascii="仿宋_GB2312" w:hAnsi="Times New Roman" w:eastAsia="仿宋_GB2312" w:cs="Times New Roman"/>
          <w:sz w:val="32"/>
          <w:szCs w:val="32"/>
          <w:lang w:val="en-US" w:eastAsia="zh-CN"/>
        </w:rPr>
        <w:t>；连续工龄满</w:t>
      </w:r>
      <w:r>
        <w:rPr>
          <w:rFonts w:hint="eastAsia" w:ascii="仿宋_GB2312" w:hAnsi="Times New Roman" w:eastAsia="仿宋_GB2312" w:cs="Times New Roman"/>
          <w:sz w:val="32"/>
          <w:szCs w:val="32"/>
          <w:lang w:val="en-US" w:eastAsia="zh-CN"/>
        </w:rPr>
        <w:t>30</w:t>
      </w:r>
      <w:r>
        <w:rPr>
          <w:rFonts w:hint="default" w:ascii="仿宋_GB2312" w:hAnsi="Times New Roman" w:eastAsia="仿宋_GB2312" w:cs="Times New Roman"/>
          <w:sz w:val="32"/>
          <w:szCs w:val="32"/>
          <w:lang w:val="en-US" w:eastAsia="zh-CN"/>
        </w:rPr>
        <w:t>以上的为本人工资的</w:t>
      </w:r>
      <w:r>
        <w:rPr>
          <w:rFonts w:hint="eastAsia" w:ascii="仿宋_GB2312" w:hAnsi="Times New Roman" w:eastAsia="仿宋_GB2312" w:cs="Times New Roman"/>
          <w:sz w:val="32"/>
          <w:szCs w:val="32"/>
          <w:lang w:val="en-US" w:eastAsia="zh-CN"/>
        </w:rPr>
        <w:t>80%</w:t>
      </w:r>
      <w:r>
        <w:rPr>
          <w:rFonts w:hint="default" w:ascii="仿宋_GB2312" w:hAnsi="Times New Roman" w:eastAsia="仿宋_GB2312" w:cs="Times New Roman"/>
          <w:sz w:val="32"/>
          <w:szCs w:val="32"/>
          <w:lang w:val="en-US" w:eastAsia="zh-CN"/>
        </w:rPr>
        <w:t>。</w:t>
      </w:r>
    </w:p>
    <w:p w14:paraId="31D2F5A0">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（二）连续病假在</w:t>
      </w:r>
      <w:r>
        <w:rPr>
          <w:rFonts w:hint="eastAsia" w:ascii="仿宋_GB2312" w:hAnsi="Times New Roman" w:eastAsia="仿宋_GB2312" w:cs="Times New Roman"/>
          <w:sz w:val="32"/>
          <w:szCs w:val="32"/>
          <w:lang w:val="en-US" w:eastAsia="zh-CN"/>
        </w:rPr>
        <w:t>6</w:t>
      </w:r>
      <w:r>
        <w:rPr>
          <w:rFonts w:hint="default" w:ascii="仿宋_GB2312" w:hAnsi="Times New Roman" w:eastAsia="仿宋_GB2312" w:cs="Times New Roman"/>
          <w:sz w:val="32"/>
          <w:szCs w:val="32"/>
          <w:lang w:val="en-US" w:eastAsia="zh-CN"/>
        </w:rPr>
        <w:t>个月以上的，按其连续工龄的长短改发疾病救济费。其标准为：连续工龄不满</w:t>
      </w:r>
      <w:r>
        <w:rPr>
          <w:rFonts w:hint="eastAsia" w:ascii="仿宋_GB2312" w:hAnsi="Times New Roman" w:eastAsia="仿宋_GB2312" w:cs="Times New Roman"/>
          <w:sz w:val="32"/>
          <w:szCs w:val="32"/>
          <w:lang w:val="en-US" w:eastAsia="zh-CN"/>
        </w:rPr>
        <w:t>10</w:t>
      </w:r>
      <w:r>
        <w:rPr>
          <w:rFonts w:hint="default" w:ascii="仿宋_GB2312" w:hAnsi="Times New Roman" w:eastAsia="仿宋_GB2312" w:cs="Times New Roman"/>
          <w:sz w:val="32"/>
          <w:szCs w:val="32"/>
          <w:lang w:val="en-US" w:eastAsia="zh-CN"/>
        </w:rPr>
        <w:t>年的，为本人工资的</w:t>
      </w:r>
      <w:r>
        <w:rPr>
          <w:rFonts w:hint="eastAsia" w:ascii="仿宋_GB2312" w:hAnsi="Times New Roman" w:eastAsia="仿宋_GB2312" w:cs="Times New Roman"/>
          <w:sz w:val="32"/>
          <w:szCs w:val="32"/>
          <w:lang w:val="en-US" w:eastAsia="zh-CN"/>
        </w:rPr>
        <w:t>40%</w:t>
      </w:r>
      <w:r>
        <w:rPr>
          <w:rFonts w:hint="default" w:ascii="仿宋_GB2312" w:hAnsi="Times New Roman" w:eastAsia="仿宋_GB2312" w:cs="Times New Roman"/>
          <w:sz w:val="32"/>
          <w:szCs w:val="32"/>
          <w:lang w:val="en-US" w:eastAsia="zh-CN"/>
        </w:rPr>
        <w:t>；连续工龄满</w:t>
      </w:r>
      <w:r>
        <w:rPr>
          <w:rFonts w:hint="eastAsia" w:ascii="仿宋_GB2312" w:hAnsi="Times New Roman" w:eastAsia="仿宋_GB2312" w:cs="Times New Roman"/>
          <w:sz w:val="32"/>
          <w:szCs w:val="32"/>
          <w:lang w:val="en-US" w:eastAsia="zh-CN"/>
        </w:rPr>
        <w:t>10</w:t>
      </w:r>
      <w:r>
        <w:rPr>
          <w:rFonts w:hint="default" w:ascii="仿宋_GB2312" w:hAnsi="Times New Roman" w:eastAsia="仿宋_GB2312" w:cs="Times New Roman"/>
          <w:sz w:val="32"/>
          <w:szCs w:val="32"/>
          <w:lang w:val="en-US" w:eastAsia="zh-CN"/>
        </w:rPr>
        <w:t>年不满</w:t>
      </w:r>
      <w:r>
        <w:rPr>
          <w:rFonts w:hint="eastAsia" w:ascii="仿宋_GB2312" w:hAnsi="Times New Roman" w:eastAsia="仿宋_GB2312" w:cs="Times New Roman"/>
          <w:sz w:val="32"/>
          <w:szCs w:val="32"/>
          <w:lang w:val="en-US" w:eastAsia="zh-CN"/>
        </w:rPr>
        <w:t>20</w:t>
      </w:r>
      <w:r>
        <w:rPr>
          <w:rFonts w:hint="default" w:ascii="仿宋_GB2312" w:hAnsi="Times New Roman" w:eastAsia="仿宋_GB2312" w:cs="Times New Roman"/>
          <w:sz w:val="32"/>
          <w:szCs w:val="32"/>
          <w:lang w:val="en-US" w:eastAsia="zh-CN"/>
        </w:rPr>
        <w:t>年的，为本人工资的</w:t>
      </w:r>
      <w:r>
        <w:rPr>
          <w:rFonts w:hint="eastAsia" w:ascii="仿宋_GB2312" w:hAnsi="Times New Roman" w:eastAsia="仿宋_GB2312" w:cs="Times New Roman"/>
          <w:sz w:val="32"/>
          <w:szCs w:val="32"/>
          <w:lang w:val="en-US" w:eastAsia="zh-CN"/>
        </w:rPr>
        <w:t>50%</w:t>
      </w:r>
      <w:r>
        <w:rPr>
          <w:rFonts w:hint="default" w:ascii="仿宋_GB2312" w:hAnsi="Times New Roman" w:eastAsia="仿宋_GB2312" w:cs="Times New Roman"/>
          <w:sz w:val="32"/>
          <w:szCs w:val="32"/>
          <w:lang w:val="en-US" w:eastAsia="zh-CN"/>
        </w:rPr>
        <w:t>；连续工龄满</w:t>
      </w:r>
      <w:r>
        <w:rPr>
          <w:rFonts w:hint="eastAsia" w:ascii="仿宋_GB2312" w:hAnsi="Times New Roman" w:eastAsia="仿宋_GB2312" w:cs="Times New Roman"/>
          <w:sz w:val="32"/>
          <w:szCs w:val="32"/>
          <w:lang w:val="en-US" w:eastAsia="zh-CN"/>
        </w:rPr>
        <w:t>20</w:t>
      </w:r>
      <w:r>
        <w:rPr>
          <w:rFonts w:hint="default" w:ascii="仿宋_GB2312" w:hAnsi="Times New Roman" w:eastAsia="仿宋_GB2312" w:cs="Times New Roman"/>
          <w:sz w:val="32"/>
          <w:szCs w:val="32"/>
          <w:lang w:val="en-US" w:eastAsia="zh-CN"/>
        </w:rPr>
        <w:t>年不满</w:t>
      </w:r>
      <w:r>
        <w:rPr>
          <w:rFonts w:hint="eastAsia" w:ascii="仿宋_GB2312" w:hAnsi="Times New Roman" w:eastAsia="仿宋_GB2312" w:cs="Times New Roman"/>
          <w:sz w:val="32"/>
          <w:szCs w:val="32"/>
          <w:lang w:val="en-US" w:eastAsia="zh-CN"/>
        </w:rPr>
        <w:t>30</w:t>
      </w:r>
      <w:r>
        <w:rPr>
          <w:rFonts w:hint="default" w:ascii="仿宋_GB2312" w:hAnsi="Times New Roman" w:eastAsia="仿宋_GB2312" w:cs="Times New Roman"/>
          <w:sz w:val="32"/>
          <w:szCs w:val="32"/>
          <w:lang w:val="en-US" w:eastAsia="zh-CN"/>
        </w:rPr>
        <w:t>年的，为本人工资的</w:t>
      </w:r>
      <w:r>
        <w:rPr>
          <w:rFonts w:hint="eastAsia" w:ascii="仿宋_GB2312" w:hAnsi="Times New Roman" w:eastAsia="仿宋_GB2312" w:cs="Times New Roman"/>
          <w:sz w:val="32"/>
          <w:szCs w:val="32"/>
          <w:lang w:val="en-US" w:eastAsia="zh-CN"/>
        </w:rPr>
        <w:t>60%</w:t>
      </w:r>
      <w:r>
        <w:rPr>
          <w:rFonts w:hint="default" w:ascii="仿宋_GB2312" w:hAnsi="Times New Roman" w:eastAsia="仿宋_GB2312" w:cs="Times New Roman"/>
          <w:sz w:val="32"/>
          <w:szCs w:val="32"/>
          <w:lang w:val="en-US" w:eastAsia="zh-CN"/>
        </w:rPr>
        <w:t>；连续工龄满</w:t>
      </w:r>
      <w:r>
        <w:rPr>
          <w:rFonts w:hint="eastAsia" w:ascii="仿宋_GB2312" w:hAnsi="Times New Roman" w:eastAsia="仿宋_GB2312" w:cs="Times New Roman"/>
          <w:sz w:val="32"/>
          <w:szCs w:val="32"/>
          <w:lang w:val="en-US" w:eastAsia="zh-CN"/>
        </w:rPr>
        <w:t>30</w:t>
      </w:r>
      <w:r>
        <w:rPr>
          <w:rFonts w:hint="default" w:ascii="仿宋_GB2312" w:hAnsi="Times New Roman" w:eastAsia="仿宋_GB2312" w:cs="Times New Roman"/>
          <w:sz w:val="32"/>
          <w:szCs w:val="32"/>
          <w:lang w:val="en-US" w:eastAsia="zh-CN"/>
        </w:rPr>
        <w:t>年以上的为本人工资的</w:t>
      </w:r>
      <w:r>
        <w:rPr>
          <w:rFonts w:hint="eastAsia" w:ascii="仿宋_GB2312" w:hAnsi="Times New Roman" w:eastAsia="仿宋_GB2312" w:cs="Times New Roman"/>
          <w:sz w:val="32"/>
          <w:szCs w:val="32"/>
          <w:lang w:val="en-US" w:eastAsia="zh-CN"/>
        </w:rPr>
        <w:t>70%</w:t>
      </w:r>
      <w:r>
        <w:rPr>
          <w:rFonts w:hint="default" w:ascii="仿宋_GB2312" w:hAnsi="Times New Roman" w:eastAsia="仿宋_GB2312" w:cs="Times New Roman"/>
          <w:sz w:val="32"/>
          <w:szCs w:val="32"/>
          <w:lang w:val="en-US" w:eastAsia="zh-CN"/>
        </w:rPr>
        <w:t>。</w:t>
      </w:r>
    </w:p>
    <w:p w14:paraId="34260658">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（三）职工因病或非因工负伤，在病假期间，如发生职工的病假工资低于最低工资标准</w:t>
      </w:r>
      <w:r>
        <w:rPr>
          <w:rFonts w:hint="eastAsia" w:ascii="仿宋_GB2312" w:hAnsi="Times New Roman" w:eastAsia="仿宋_GB2312" w:cs="Times New Roman"/>
          <w:sz w:val="32"/>
          <w:szCs w:val="32"/>
          <w:lang w:val="en-US" w:eastAsia="zh-CN"/>
        </w:rPr>
        <w:t>80%</w:t>
      </w:r>
      <w:r>
        <w:rPr>
          <w:rFonts w:hint="default" w:ascii="仿宋_GB2312" w:hAnsi="Times New Roman" w:eastAsia="仿宋_GB2312" w:cs="Times New Roman"/>
          <w:sz w:val="32"/>
          <w:szCs w:val="32"/>
          <w:lang w:val="en-US" w:eastAsia="zh-CN"/>
        </w:rPr>
        <w:t>的，按当地最低工资标准的</w:t>
      </w:r>
      <w:r>
        <w:rPr>
          <w:rFonts w:hint="eastAsia" w:ascii="仿宋_GB2312" w:hAnsi="Times New Roman" w:eastAsia="仿宋_GB2312" w:cs="Times New Roman"/>
          <w:sz w:val="32"/>
          <w:szCs w:val="32"/>
          <w:lang w:val="en-US" w:eastAsia="zh-CN"/>
        </w:rPr>
        <w:t>80%</w:t>
      </w:r>
      <w:r>
        <w:rPr>
          <w:rFonts w:hint="default" w:ascii="仿宋_GB2312" w:hAnsi="Times New Roman" w:eastAsia="仿宋_GB2312" w:cs="Times New Roman"/>
          <w:sz w:val="32"/>
          <w:szCs w:val="32"/>
          <w:lang w:val="en-US" w:eastAsia="zh-CN"/>
        </w:rPr>
        <w:t>发给。疾病救济费低于当地城镇企业职工基本生活费标准的，按当地城镇企业职工基本生活费标准发给。</w:t>
      </w:r>
    </w:p>
    <w:p w14:paraId="43D8B120">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楷体_GB2312" w:hAnsi="Times New Roman" w:eastAsia="楷体_GB2312" w:cs="Times New Roman"/>
          <w:color w:val="000000"/>
          <w:sz w:val="32"/>
          <w:szCs w:val="32"/>
          <w:lang w:val="en-US" w:eastAsia="zh-CN"/>
        </w:rPr>
        <w:t>第</w:t>
      </w:r>
      <w:r>
        <w:rPr>
          <w:rFonts w:hint="eastAsia" w:ascii="楷体_GB2312" w:hAnsi="Times New Roman" w:eastAsia="楷体_GB2312" w:cs="Times New Roman"/>
          <w:color w:val="000000"/>
          <w:sz w:val="32"/>
          <w:szCs w:val="32"/>
          <w:lang w:val="en-US" w:eastAsia="zh-CN"/>
        </w:rPr>
        <w:t>四十三</w:t>
      </w:r>
      <w:r>
        <w:rPr>
          <w:rFonts w:hint="default" w:ascii="楷体_GB2312" w:hAnsi="Times New Roman" w:eastAsia="楷体_GB2312" w:cs="Times New Roman"/>
          <w:color w:val="000000"/>
          <w:sz w:val="32"/>
          <w:szCs w:val="32"/>
          <w:lang w:val="en-US" w:eastAsia="zh-CN"/>
        </w:rPr>
        <w:t>条</w:t>
      </w:r>
      <w:r>
        <w:rPr>
          <w:rFonts w:hint="default" w:ascii="仿宋_GB2312" w:hAnsi="Times New Roman" w:eastAsia="仿宋_GB2312" w:cs="Times New Roman"/>
          <w:sz w:val="32"/>
          <w:szCs w:val="32"/>
          <w:lang w:val="en-US" w:eastAsia="zh-CN"/>
        </w:rPr>
        <w:t xml:space="preserve"> 事假</w:t>
      </w:r>
    </w:p>
    <w:p w14:paraId="15237465">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（一）员工需在用完所有补休和年假的前提下，方可提出事假申请。员工可通过电子考勤系统查询个人假期结余。</w:t>
      </w:r>
    </w:p>
    <w:p w14:paraId="628E83DB">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（二）事假无薪，基金会不支付员工事假期间的工资及津贴。</w:t>
      </w:r>
    </w:p>
    <w:p w14:paraId="1DE2FC99">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（三）事假每次不超过3个工作日，累计不超过20天（含年假）。</w:t>
      </w:r>
    </w:p>
    <w:p w14:paraId="39877473">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（四）事假为无薪假，以天或小时为计算单位，员工请事假每天的扣薪标准是：月基本工资/21.75天；员工请事假每小时的扣薪标准是：月基本工资/21.75天/8小时。</w:t>
      </w:r>
    </w:p>
    <w:p w14:paraId="04E28E63">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第四十三条</w:t>
      </w:r>
      <w:r>
        <w:rPr>
          <w:rFonts w:hint="eastAsia" w:ascii="仿宋_GB2312" w:hAnsi="Times New Roman" w:eastAsia="仿宋_GB2312" w:cs="Times New Roman"/>
          <w:sz w:val="32"/>
          <w:szCs w:val="32"/>
          <w:lang w:val="en-US" w:eastAsia="zh-CN"/>
        </w:rPr>
        <w:t xml:space="preserve"> </w:t>
      </w:r>
      <w:r>
        <w:rPr>
          <w:rFonts w:hint="default" w:ascii="仿宋_GB2312" w:hAnsi="Times New Roman" w:eastAsia="仿宋_GB2312" w:cs="Times New Roman"/>
          <w:sz w:val="32"/>
          <w:szCs w:val="32"/>
          <w:lang w:val="en-US" w:eastAsia="zh-CN"/>
        </w:rPr>
        <w:t>工伤待遇根据社保所在地的相关法律、法规的规定执行。</w:t>
      </w:r>
    </w:p>
    <w:p w14:paraId="2A6BF288">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楷体_GB2312" w:hAnsi="Times New Roman" w:eastAsia="楷体_GB2312" w:cs="Times New Roman"/>
          <w:color w:val="000000"/>
          <w:sz w:val="32"/>
          <w:szCs w:val="32"/>
          <w:lang w:val="en-US" w:eastAsia="zh-CN"/>
        </w:rPr>
        <w:t>第</w:t>
      </w:r>
      <w:r>
        <w:rPr>
          <w:rFonts w:hint="eastAsia" w:ascii="楷体_GB2312" w:hAnsi="Times New Roman" w:eastAsia="楷体_GB2312" w:cs="Times New Roman"/>
          <w:color w:val="000000"/>
          <w:sz w:val="32"/>
          <w:szCs w:val="32"/>
          <w:lang w:val="en-US" w:eastAsia="zh-CN"/>
        </w:rPr>
        <w:t>四十四</w:t>
      </w:r>
      <w:r>
        <w:rPr>
          <w:rFonts w:hint="default" w:ascii="楷体_GB2312" w:hAnsi="Times New Roman" w:eastAsia="楷体_GB2312" w:cs="Times New Roman"/>
          <w:color w:val="000000"/>
          <w:sz w:val="32"/>
          <w:szCs w:val="32"/>
          <w:lang w:val="en-US" w:eastAsia="zh-CN"/>
        </w:rPr>
        <w:t>条</w:t>
      </w:r>
      <w:r>
        <w:rPr>
          <w:rFonts w:hint="eastAsia" w:ascii="仿宋_GB2312" w:hAnsi="Times New Roman" w:eastAsia="仿宋_GB2312" w:cs="Times New Roman"/>
          <w:sz w:val="32"/>
          <w:szCs w:val="32"/>
          <w:lang w:val="en-US" w:eastAsia="zh-CN"/>
        </w:rPr>
        <w:t xml:space="preserve"> 婚假</w:t>
      </w:r>
    </w:p>
    <w:p w14:paraId="32DF3A92">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（一）依法办理结婚登记的职工，享受婚假</w:t>
      </w:r>
      <w:r>
        <w:rPr>
          <w:rFonts w:hint="default" w:ascii="仿宋_GB2312" w:hAnsi="Times New Roman" w:eastAsia="仿宋_GB2312" w:cs="Times New Roman"/>
          <w:color w:val="auto"/>
          <w:kern w:val="2"/>
          <w:sz w:val="32"/>
          <w:szCs w:val="32"/>
          <w:lang w:val="en-US" w:eastAsia="zh-CN" w:bidi="ar"/>
        </w:rPr>
        <w:t>13</w:t>
      </w:r>
      <w:r>
        <w:rPr>
          <w:rFonts w:hint="default" w:ascii="仿宋_GB2312" w:hAnsi="Times New Roman" w:eastAsia="仿宋_GB2312" w:cs="Times New Roman"/>
          <w:sz w:val="32"/>
          <w:szCs w:val="32"/>
          <w:lang w:val="en-US" w:eastAsia="zh-CN"/>
        </w:rPr>
        <w:t>天。国家法定休假日、休息日不计入婚假假期。</w:t>
      </w:r>
    </w:p>
    <w:p w14:paraId="77D17387">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员工须发起婚假申请流程，并提供结婚证书。</w:t>
      </w:r>
    </w:p>
    <w:p w14:paraId="2E7B6162">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（二）婚假应在办理结婚登记手续后1年内（以结婚证书时间为准）一次性休完，逾期不补；确因工作需要，不能在</w:t>
      </w:r>
      <w:r>
        <w:rPr>
          <w:rFonts w:hint="default" w:ascii="仿宋_GB2312" w:hAnsi="Times New Roman" w:eastAsia="仿宋_GB2312" w:cs="Times New Roman"/>
          <w:color w:val="auto"/>
          <w:kern w:val="2"/>
          <w:sz w:val="32"/>
          <w:szCs w:val="32"/>
          <w:lang w:val="en-US" w:eastAsia="zh-CN" w:bidi="ar"/>
        </w:rPr>
        <w:t>1</w:t>
      </w:r>
      <w:r>
        <w:rPr>
          <w:rFonts w:hint="default" w:ascii="仿宋_GB2312" w:hAnsi="Times New Roman" w:eastAsia="仿宋_GB2312" w:cs="Times New Roman"/>
          <w:sz w:val="32"/>
          <w:szCs w:val="32"/>
          <w:lang w:val="en-US" w:eastAsia="zh-CN"/>
        </w:rPr>
        <w:t>年内休婚假的，经单位与职工协商，可以延后半年休婚假。</w:t>
      </w:r>
    </w:p>
    <w:p w14:paraId="2825AFF9">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（三）在基金会工作期间办理结婚登记手续的员工才可在本基金会享受婚假。</w:t>
      </w:r>
    </w:p>
    <w:p w14:paraId="37F2C8B2">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楷体_GB2312" w:hAnsi="Times New Roman" w:eastAsia="楷体_GB2312" w:cs="Times New Roman"/>
          <w:color w:val="000000"/>
          <w:sz w:val="32"/>
          <w:szCs w:val="32"/>
          <w:lang w:val="en-US" w:eastAsia="zh-CN"/>
        </w:rPr>
        <w:t>第</w:t>
      </w:r>
      <w:r>
        <w:rPr>
          <w:rFonts w:hint="eastAsia" w:ascii="楷体_GB2312" w:hAnsi="Times New Roman" w:eastAsia="楷体_GB2312" w:cs="Times New Roman"/>
          <w:color w:val="000000"/>
          <w:sz w:val="32"/>
          <w:szCs w:val="32"/>
          <w:lang w:val="en-US" w:eastAsia="zh-CN"/>
        </w:rPr>
        <w:t>四十五</w:t>
      </w:r>
      <w:r>
        <w:rPr>
          <w:rFonts w:hint="default" w:ascii="楷体_GB2312" w:hAnsi="Times New Roman" w:eastAsia="楷体_GB2312" w:cs="Times New Roman"/>
          <w:color w:val="000000"/>
          <w:sz w:val="32"/>
          <w:szCs w:val="32"/>
          <w:lang w:val="en-US" w:eastAsia="zh-CN"/>
        </w:rPr>
        <w:t>条</w:t>
      </w:r>
      <w:r>
        <w:rPr>
          <w:rFonts w:hint="default" w:ascii="仿宋_GB2312" w:hAnsi="Times New Roman" w:eastAsia="仿宋_GB2312" w:cs="Times New Roman"/>
          <w:sz w:val="32"/>
          <w:szCs w:val="32"/>
          <w:lang w:val="en-US" w:eastAsia="zh-CN"/>
        </w:rPr>
        <w:t xml:space="preserve"> 产假</w:t>
      </w:r>
    </w:p>
    <w:p w14:paraId="418D3A04">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（一）符合法律规定生育子女的夫妻,可享受假期为98天，其中产前休假15天，难产的，增加产假15天，多胞胎生育的，每多生育一个婴儿，增加产假15天。</w:t>
      </w:r>
    </w:p>
    <w:p w14:paraId="3D0E5A7B">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女方在享受国家规定产假的基础上，一孩延长产假</w:t>
      </w:r>
      <w:r>
        <w:rPr>
          <w:rFonts w:hint="eastAsia" w:ascii="仿宋_GB2312" w:hAnsi="Times New Roman" w:eastAsia="仿宋_GB2312" w:cs="Times New Roman"/>
          <w:sz w:val="32"/>
          <w:szCs w:val="32"/>
          <w:lang w:val="en-US" w:eastAsia="zh-CN"/>
        </w:rPr>
        <w:t>60</w:t>
      </w:r>
      <w:r>
        <w:rPr>
          <w:rFonts w:hint="default" w:ascii="仿宋_GB2312" w:hAnsi="Times New Roman" w:eastAsia="仿宋_GB2312" w:cs="Times New Roman"/>
          <w:sz w:val="32"/>
          <w:szCs w:val="32"/>
          <w:lang w:val="en-US" w:eastAsia="zh-CN"/>
        </w:rPr>
        <w:t>天，二孩、三孩延长产假</w:t>
      </w:r>
      <w:r>
        <w:rPr>
          <w:rFonts w:hint="eastAsia" w:ascii="仿宋_GB2312" w:hAnsi="Times New Roman" w:eastAsia="仿宋_GB2312" w:cs="Times New Roman"/>
          <w:sz w:val="32"/>
          <w:szCs w:val="32"/>
          <w:lang w:val="en-US" w:eastAsia="zh-CN"/>
        </w:rPr>
        <w:t>90</w:t>
      </w:r>
      <w:r>
        <w:rPr>
          <w:rFonts w:hint="default" w:ascii="仿宋_GB2312" w:hAnsi="Times New Roman" w:eastAsia="仿宋_GB2312" w:cs="Times New Roman"/>
          <w:sz w:val="32"/>
          <w:szCs w:val="32"/>
          <w:lang w:val="en-US" w:eastAsia="zh-CN"/>
        </w:rPr>
        <w:t>天，自生育之日起按照自然日计算；不影响晋级、调整工资、计算工龄；用人单位根据具体情况，可以给予其他优惠待遇；</w:t>
      </w:r>
    </w:p>
    <w:p w14:paraId="593BFD32">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（二）女性怀孕期间提供医生证明可享受带薪产检假。每次半天，最多不超过10次。该假期申请须填写休假单并附健康手册检查记录及相关挂号病历簿等。未使用该检查假的视为自动放弃，不可累计使用。</w:t>
      </w:r>
    </w:p>
    <w:p w14:paraId="664AD32A">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（三）女性员工怀孕7个月以上（含7个月），每天可享受工间休息</w:t>
      </w:r>
      <w:r>
        <w:rPr>
          <w:rFonts w:hint="eastAsia" w:ascii="仿宋_GB2312" w:hAnsi="Times New Roman" w:eastAsia="仿宋_GB2312" w:cs="Times New Roman"/>
          <w:sz w:val="32"/>
          <w:szCs w:val="32"/>
          <w:lang w:val="en-US" w:eastAsia="zh-CN"/>
        </w:rPr>
        <w:t>1</w:t>
      </w:r>
      <w:r>
        <w:rPr>
          <w:rFonts w:hint="default" w:ascii="仿宋_GB2312" w:hAnsi="Times New Roman" w:eastAsia="仿宋_GB2312" w:cs="Times New Roman"/>
          <w:sz w:val="32"/>
          <w:szCs w:val="32"/>
          <w:lang w:val="en-US" w:eastAsia="zh-CN"/>
        </w:rPr>
        <w:t>小时。</w:t>
      </w:r>
    </w:p>
    <w:p w14:paraId="2D57079E">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（四）依法进行婚姻登记的女性员工怀孕不满4个月中止妊娠，提交社保定点医院诊断证明，享有15-30天流产假；怀孕4个月以上中止妊娠，根据医院诊断证明享有42天流产假。</w:t>
      </w:r>
    </w:p>
    <w:p w14:paraId="43C264E0">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（五）员工怀孕后，应第一时间通知直属上级，并将有关怀孕及预计分娩期的医生证明副本提交综合部，该证明上应写明预产期。</w:t>
      </w:r>
    </w:p>
    <w:p w14:paraId="7FD78BF5">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（六）女性员工须在预产前1个月通过发起产假申请流程。</w:t>
      </w:r>
    </w:p>
    <w:p w14:paraId="3113F2D0">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楷体_GB2312" w:hAnsi="Times New Roman" w:eastAsia="楷体_GB2312" w:cs="Times New Roman"/>
          <w:color w:val="000000"/>
          <w:sz w:val="32"/>
          <w:szCs w:val="32"/>
          <w:lang w:val="en-US" w:eastAsia="zh-CN"/>
        </w:rPr>
        <w:t>第</w:t>
      </w:r>
      <w:r>
        <w:rPr>
          <w:rFonts w:hint="eastAsia" w:ascii="楷体_GB2312" w:hAnsi="Times New Roman" w:eastAsia="楷体_GB2312" w:cs="Times New Roman"/>
          <w:color w:val="000000"/>
          <w:sz w:val="32"/>
          <w:szCs w:val="32"/>
          <w:lang w:val="en-US" w:eastAsia="zh-CN"/>
        </w:rPr>
        <w:t>四十六</w:t>
      </w:r>
      <w:r>
        <w:rPr>
          <w:rFonts w:hint="default" w:ascii="楷体_GB2312" w:hAnsi="Times New Roman" w:eastAsia="楷体_GB2312" w:cs="Times New Roman"/>
          <w:color w:val="000000"/>
          <w:sz w:val="32"/>
          <w:szCs w:val="32"/>
          <w:lang w:val="en-US" w:eastAsia="zh-CN"/>
        </w:rPr>
        <w:t>条</w:t>
      </w:r>
      <w:r>
        <w:rPr>
          <w:rFonts w:hint="default" w:ascii="仿宋_GB2312" w:hAnsi="Times New Roman" w:eastAsia="仿宋_GB2312" w:cs="Times New Roman"/>
          <w:sz w:val="32"/>
          <w:szCs w:val="32"/>
          <w:lang w:val="en-US" w:eastAsia="zh-CN"/>
        </w:rPr>
        <w:t xml:space="preserve"> 哺乳假</w:t>
      </w:r>
    </w:p>
    <w:p w14:paraId="088081F2">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在符合国家有关计划生育规定的前提下，女性员工在其婴儿一周岁前，可享有每天总计1小时的哺乳假（哺乳假含人工喂养）。未休的哺乳假不能用补休和薪金替代。</w:t>
      </w:r>
    </w:p>
    <w:p w14:paraId="645EAF65">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楷体_GB2312" w:hAnsi="Times New Roman" w:eastAsia="楷体_GB2312" w:cs="Times New Roman"/>
          <w:color w:val="000000"/>
          <w:sz w:val="32"/>
          <w:szCs w:val="32"/>
          <w:lang w:val="en-US" w:eastAsia="zh-CN"/>
        </w:rPr>
        <w:t>第</w:t>
      </w:r>
      <w:r>
        <w:rPr>
          <w:rFonts w:hint="eastAsia" w:ascii="楷体_GB2312" w:hAnsi="Times New Roman" w:eastAsia="楷体_GB2312" w:cs="Times New Roman"/>
          <w:color w:val="000000"/>
          <w:sz w:val="32"/>
          <w:szCs w:val="32"/>
          <w:lang w:val="en-US" w:eastAsia="zh-CN"/>
        </w:rPr>
        <w:t>四十七</w:t>
      </w:r>
      <w:r>
        <w:rPr>
          <w:rFonts w:hint="default" w:ascii="楷体_GB2312" w:hAnsi="Times New Roman" w:eastAsia="楷体_GB2312" w:cs="Times New Roman"/>
          <w:color w:val="000000"/>
          <w:sz w:val="32"/>
          <w:szCs w:val="32"/>
          <w:lang w:val="en-US" w:eastAsia="zh-CN"/>
        </w:rPr>
        <w:t>条</w:t>
      </w:r>
      <w:r>
        <w:rPr>
          <w:rFonts w:hint="default" w:ascii="仿宋_GB2312" w:hAnsi="Times New Roman" w:eastAsia="仿宋_GB2312" w:cs="Times New Roman"/>
          <w:sz w:val="32"/>
          <w:szCs w:val="32"/>
          <w:lang w:val="en-US" w:eastAsia="zh-CN"/>
        </w:rPr>
        <w:t xml:space="preserve"> 看护假</w:t>
      </w:r>
    </w:p>
    <w:p w14:paraId="4AB451D0">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（一）男性员工符合有关计划生育规定的，可在子女出生1个月内（以出生证明时间为准）获得15个</w:t>
      </w:r>
      <w:r>
        <w:rPr>
          <w:rFonts w:hint="eastAsia" w:ascii="仿宋_GB2312" w:hAnsi="Times New Roman" w:eastAsia="仿宋_GB2312" w:cs="Times New Roman"/>
          <w:sz w:val="32"/>
          <w:szCs w:val="32"/>
          <w:lang w:val="en-US" w:eastAsia="zh-CN"/>
        </w:rPr>
        <w:t>自然</w:t>
      </w:r>
      <w:r>
        <w:rPr>
          <w:rFonts w:hint="default" w:ascii="仿宋_GB2312" w:hAnsi="Times New Roman" w:eastAsia="仿宋_GB2312" w:cs="Times New Roman"/>
          <w:sz w:val="32"/>
          <w:szCs w:val="32"/>
          <w:lang w:val="en-US" w:eastAsia="zh-CN"/>
        </w:rPr>
        <w:t>日的带薪看护假。</w:t>
      </w:r>
    </w:p>
    <w:p w14:paraId="5CF674D8">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（二）看护假应一次性连续休完，假期期间如遇公休假日不另加假期天数。</w:t>
      </w:r>
    </w:p>
    <w:p w14:paraId="5B0CCEF3">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（三）男性员工的子女出生时间在入职之后的，可在基金会享受看护假。</w:t>
      </w:r>
    </w:p>
    <w:p w14:paraId="0A1500B4">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（四）员工发起看护假申请，并在休假前提供子女的《出生证明》予考勤人员核对。否则，其休假视作事假处理。</w:t>
      </w:r>
    </w:p>
    <w:p w14:paraId="2CAA0B07">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楷体_GB2312" w:hAnsi="Times New Roman" w:eastAsia="楷体_GB2312" w:cs="Times New Roman"/>
          <w:color w:val="000000"/>
          <w:sz w:val="32"/>
          <w:szCs w:val="32"/>
          <w:lang w:val="en-US" w:eastAsia="zh-CN"/>
        </w:rPr>
        <w:t xml:space="preserve">第四十八条 </w:t>
      </w:r>
      <w:r>
        <w:rPr>
          <w:rFonts w:hint="default" w:ascii="仿宋_GB2312" w:hAnsi="Times New Roman" w:eastAsia="仿宋_GB2312" w:cs="Times New Roman"/>
          <w:sz w:val="32"/>
          <w:szCs w:val="32"/>
          <w:lang w:val="en-US" w:eastAsia="zh-CN"/>
        </w:rPr>
        <w:t>育儿假</w:t>
      </w:r>
    </w:p>
    <w:p w14:paraId="767FC12A">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符合法律、法规规定生育子女的夫妻，在子女三周岁内，夫妻双方每年各享受十天育儿假，不按照子女数量叠加享受，不包含国家法定节假日、休息日、职业假。育儿假应当在当年内使用，不能结转到下一年使用，可以一次性使用，也可以分次使用。育儿假期间的工资、奖金和其他福利待遇照发。</w:t>
      </w:r>
    </w:p>
    <w:p w14:paraId="0CF9B4BD">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楷体_GB2312" w:hAnsi="Times New Roman" w:eastAsia="楷体_GB2312" w:cs="Times New Roman"/>
          <w:color w:val="000000"/>
          <w:sz w:val="32"/>
          <w:szCs w:val="32"/>
          <w:lang w:val="en-US" w:eastAsia="zh-CN"/>
        </w:rPr>
        <w:t xml:space="preserve">第四十九条 </w:t>
      </w:r>
      <w:r>
        <w:rPr>
          <w:rFonts w:hint="default" w:ascii="仿宋_GB2312" w:hAnsi="Times New Roman" w:eastAsia="仿宋_GB2312" w:cs="Times New Roman"/>
          <w:sz w:val="32"/>
          <w:szCs w:val="32"/>
          <w:lang w:val="en-US" w:eastAsia="zh-CN"/>
        </w:rPr>
        <w:t>独生子女陪护父母假</w:t>
      </w:r>
    </w:p>
    <w:p w14:paraId="69530434">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员工为独生子女的，父母一方年满六十周岁的，每年享受五天独生子女陪护父母假，不包含国家法定节假日、休息日、职业假。独生子女每年享受的陪护假应当在当年内使用，不能结转到下一年使用，可以一次性使用，也可以分次使用。陪护假期间的工资、奖金和其他福利待遇照发。</w:t>
      </w:r>
    </w:p>
    <w:p w14:paraId="26A8EB16">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楷体_GB2312" w:hAnsi="Times New Roman" w:eastAsia="楷体_GB2312" w:cs="Times New Roman"/>
          <w:color w:val="000000"/>
          <w:sz w:val="32"/>
          <w:szCs w:val="32"/>
          <w:lang w:val="en-US" w:eastAsia="zh-CN"/>
        </w:rPr>
        <w:t>第</w:t>
      </w:r>
      <w:r>
        <w:rPr>
          <w:rFonts w:hint="eastAsia" w:ascii="楷体_GB2312" w:cs="Times New Roman"/>
          <w:color w:val="000000"/>
          <w:sz w:val="32"/>
          <w:szCs w:val="32"/>
          <w:lang w:val="en-US" w:eastAsia="zh-CN"/>
        </w:rPr>
        <w:t>五十</w:t>
      </w:r>
      <w:r>
        <w:rPr>
          <w:rFonts w:hint="default" w:ascii="楷体_GB2312" w:hAnsi="Times New Roman" w:eastAsia="楷体_GB2312" w:cs="Times New Roman"/>
          <w:color w:val="000000"/>
          <w:sz w:val="32"/>
          <w:szCs w:val="32"/>
          <w:lang w:val="en-US" w:eastAsia="zh-CN"/>
        </w:rPr>
        <w:t>条</w:t>
      </w:r>
      <w:r>
        <w:rPr>
          <w:rFonts w:hint="default" w:ascii="仿宋_GB2312" w:hAnsi="Times New Roman" w:eastAsia="仿宋_GB2312" w:cs="Times New Roman"/>
          <w:sz w:val="32"/>
          <w:szCs w:val="32"/>
          <w:lang w:val="en-US" w:eastAsia="zh-CN"/>
        </w:rPr>
        <w:t xml:space="preserve"> 丧假</w:t>
      </w:r>
    </w:p>
    <w:p w14:paraId="41545C5E">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（一）员工直系亲属（父母、子女、配偶、兄弟姐妹）去世可享3天带薪休假。</w:t>
      </w:r>
    </w:p>
    <w:p w14:paraId="0EF66E11">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（二）旁系亲属（外/祖父母、孙子女、配偶父母）去世可享1天带薪休假。</w:t>
      </w:r>
    </w:p>
    <w:p w14:paraId="790C42C0">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（三）丧假应一次性于一个月内休完，遇公休日或法定节假日的，不另加假期天数。</w:t>
      </w:r>
    </w:p>
    <w:p w14:paraId="4E310A6F">
      <w:pPr>
        <w:keepNext w:val="0"/>
        <w:keepLines w:val="0"/>
        <w:pageBreakBefore w:val="0"/>
        <w:widowControl/>
        <w:suppressLineNumbers w:val="0"/>
        <w:kinsoku/>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kern w:val="0"/>
          <w:sz w:val="28"/>
          <w:szCs w:val="28"/>
          <w:lang w:val="en-US" w:eastAsia="zh-CN" w:bidi="ar"/>
        </w:rPr>
      </w:pPr>
    </w:p>
    <w:p w14:paraId="089265E4">
      <w:pPr>
        <w:pageBreakBefore w:val="0"/>
        <w:kinsoku/>
        <w:overflowPunct/>
        <w:topLinePunct w:val="0"/>
        <w:autoSpaceDE/>
        <w:autoSpaceDN/>
        <w:bidi w:val="0"/>
        <w:adjustRightInd/>
        <w:snapToGrid/>
        <w:spacing w:line="560" w:lineRule="exact"/>
        <w:jc w:val="center"/>
        <w:textAlignment w:val="auto"/>
        <w:rPr>
          <w:rFonts w:hint="eastAsia" w:ascii="黑体" w:hAnsi="黑体" w:eastAsia="黑体" w:cs="Times New Roman"/>
          <w:color w:val="000000"/>
          <w:sz w:val="32"/>
          <w:szCs w:val="32"/>
        </w:rPr>
      </w:pPr>
      <w:r>
        <w:rPr>
          <w:rFonts w:hint="eastAsia" w:ascii="黑体" w:hAnsi="黑体" w:eastAsia="黑体" w:cs="Times New Roman"/>
          <w:color w:val="000000"/>
          <w:sz w:val="32"/>
          <w:szCs w:val="32"/>
          <w:lang w:val="en-US" w:eastAsia="zh-CN"/>
        </w:rPr>
        <w:t>第四章 员工兼职规定</w:t>
      </w:r>
    </w:p>
    <w:p w14:paraId="16695247">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楷体_GB2312" w:hAnsi="Times New Roman" w:eastAsia="楷体_GB2312" w:cs="Times New Roman"/>
          <w:color w:val="000000"/>
          <w:sz w:val="32"/>
          <w:szCs w:val="32"/>
          <w:lang w:val="en-US" w:eastAsia="zh-CN"/>
        </w:rPr>
        <w:t>第</w:t>
      </w:r>
      <w:r>
        <w:rPr>
          <w:rFonts w:hint="eastAsia" w:ascii="楷体_GB2312" w:cs="Times New Roman"/>
          <w:color w:val="000000"/>
          <w:sz w:val="32"/>
          <w:szCs w:val="32"/>
          <w:lang w:val="en-US" w:eastAsia="zh-CN"/>
        </w:rPr>
        <w:t>五十一</w:t>
      </w:r>
      <w:r>
        <w:rPr>
          <w:rFonts w:hint="default" w:ascii="楷体_GB2312" w:hAnsi="Times New Roman" w:eastAsia="楷体_GB2312" w:cs="Times New Roman"/>
          <w:color w:val="000000"/>
          <w:sz w:val="32"/>
          <w:szCs w:val="32"/>
          <w:lang w:val="en-US" w:eastAsia="zh-CN"/>
        </w:rPr>
        <w:t>条</w:t>
      </w:r>
      <w:r>
        <w:rPr>
          <w:rFonts w:hint="default" w:ascii="仿宋_GB2312" w:hAnsi="Times New Roman" w:eastAsia="仿宋_GB2312" w:cs="Times New Roman"/>
          <w:sz w:val="32"/>
          <w:szCs w:val="32"/>
          <w:lang w:val="en-US" w:eastAsia="zh-CN"/>
        </w:rPr>
        <w:t xml:space="preserve"> </w:t>
      </w:r>
      <w:r>
        <w:rPr>
          <w:rFonts w:hint="eastAsia" w:ascii="仿宋_GB2312" w:hAnsi="Times New Roman" w:eastAsia="仿宋_GB2312" w:cs="Times New Roman"/>
          <w:sz w:val="32"/>
          <w:szCs w:val="32"/>
          <w:lang w:val="en-US" w:eastAsia="zh-CN"/>
        </w:rPr>
        <w:t>任何员工不允许在被资助方或其他组织担任兼职、顾问等有偿工作，包含接受有偿的咨询、培训、公众演讲等。</w:t>
      </w:r>
    </w:p>
    <w:p w14:paraId="147D66D6">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default" w:ascii="楷体_GB2312" w:hAnsi="Times New Roman" w:eastAsia="楷体_GB2312" w:cs="Times New Roman"/>
          <w:color w:val="000000"/>
          <w:sz w:val="32"/>
          <w:szCs w:val="32"/>
          <w:lang w:val="en-US" w:eastAsia="zh-CN"/>
        </w:rPr>
        <w:t>第</w:t>
      </w:r>
      <w:r>
        <w:rPr>
          <w:rFonts w:hint="eastAsia" w:ascii="楷体_GB2312" w:hAnsi="Times New Roman" w:eastAsia="楷体_GB2312" w:cs="Times New Roman"/>
          <w:color w:val="000000"/>
          <w:sz w:val="32"/>
          <w:szCs w:val="32"/>
          <w:lang w:val="en-US" w:eastAsia="zh-CN"/>
        </w:rPr>
        <w:t>五十</w:t>
      </w:r>
      <w:r>
        <w:rPr>
          <w:rFonts w:hint="eastAsia" w:ascii="楷体_GB2312" w:cs="Times New Roman"/>
          <w:color w:val="000000"/>
          <w:sz w:val="32"/>
          <w:szCs w:val="32"/>
          <w:lang w:val="en-US" w:eastAsia="zh-CN"/>
        </w:rPr>
        <w:t>二</w:t>
      </w:r>
      <w:r>
        <w:rPr>
          <w:rFonts w:hint="default" w:ascii="楷体_GB2312" w:hAnsi="Times New Roman" w:eastAsia="楷体_GB2312" w:cs="Times New Roman"/>
          <w:color w:val="000000"/>
          <w:sz w:val="32"/>
          <w:szCs w:val="32"/>
          <w:lang w:val="en-US" w:eastAsia="zh-CN"/>
        </w:rPr>
        <w:t>条</w:t>
      </w:r>
      <w:r>
        <w:rPr>
          <w:rFonts w:hint="default" w:ascii="仿宋_GB2312" w:hAnsi="Times New Roman" w:eastAsia="仿宋_GB2312" w:cs="Times New Roman"/>
          <w:sz w:val="32"/>
          <w:szCs w:val="32"/>
          <w:lang w:val="en-US" w:eastAsia="zh-CN"/>
        </w:rPr>
        <w:t xml:space="preserve"> </w:t>
      </w:r>
      <w:r>
        <w:rPr>
          <w:rFonts w:hint="eastAsia" w:ascii="仿宋_GB2312" w:hAnsi="Times New Roman" w:eastAsia="仿宋_GB2312" w:cs="Times New Roman"/>
          <w:sz w:val="32"/>
          <w:szCs w:val="32"/>
          <w:lang w:val="en-US" w:eastAsia="zh-CN"/>
        </w:rPr>
        <w:t>因基金会职务被邀请在被资助方或其他组织兼任职务的，应事前书面说明，经秘书长批准，综合部备案后方可任职，并配合提供因公任职而需要信息公开的相关信息。</w:t>
      </w:r>
    </w:p>
    <w:p w14:paraId="3A3012AD">
      <w:pPr>
        <w:keepNext w:val="0"/>
        <w:keepLines w:val="0"/>
        <w:pageBreakBefore w:val="0"/>
        <w:widowControl/>
        <w:suppressLineNumbers w:val="0"/>
        <w:kinsoku/>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kern w:val="0"/>
          <w:sz w:val="28"/>
          <w:szCs w:val="28"/>
          <w:lang w:val="en-US" w:eastAsia="zh-CN" w:bidi="ar"/>
        </w:rPr>
      </w:pPr>
    </w:p>
    <w:p w14:paraId="36A38CB0">
      <w:pPr>
        <w:pageBreakBefore w:val="0"/>
        <w:kinsoku/>
        <w:overflowPunct/>
        <w:topLinePunct w:val="0"/>
        <w:autoSpaceDE/>
        <w:autoSpaceDN/>
        <w:bidi w:val="0"/>
        <w:adjustRightInd/>
        <w:snapToGrid/>
        <w:spacing w:line="560" w:lineRule="exact"/>
        <w:jc w:val="center"/>
        <w:textAlignment w:val="auto"/>
        <w:rPr>
          <w:rFonts w:hint="eastAsia" w:ascii="黑体" w:hAnsi="黑体" w:eastAsia="黑体" w:cs="Times New Roman"/>
          <w:color w:val="000000"/>
          <w:sz w:val="32"/>
          <w:szCs w:val="32"/>
          <w:lang w:val="en-US" w:eastAsia="zh-CN"/>
        </w:rPr>
      </w:pPr>
      <w:r>
        <w:rPr>
          <w:rFonts w:hint="eastAsia" w:ascii="黑体" w:hAnsi="黑体" w:eastAsia="黑体" w:cs="Times New Roman"/>
          <w:color w:val="000000"/>
          <w:sz w:val="32"/>
          <w:szCs w:val="32"/>
          <w:lang w:val="en-US" w:eastAsia="zh-CN"/>
        </w:rPr>
        <w:t>第五章 附 则</w:t>
      </w:r>
    </w:p>
    <w:p w14:paraId="0A8BC9F0">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第五十</w:t>
      </w:r>
      <w:r>
        <w:rPr>
          <w:rFonts w:hint="eastAsia" w:ascii="楷体_GB2312" w:cs="Times New Roman"/>
          <w:color w:val="000000"/>
          <w:sz w:val="32"/>
          <w:szCs w:val="32"/>
          <w:lang w:val="en-US" w:eastAsia="zh-CN"/>
        </w:rPr>
        <w:t>三</w:t>
      </w:r>
      <w:r>
        <w:rPr>
          <w:rFonts w:hint="eastAsia" w:ascii="楷体_GB2312" w:hAnsi="Times New Roman" w:eastAsia="楷体_GB2312" w:cs="Times New Roman"/>
          <w:color w:val="000000"/>
          <w:sz w:val="32"/>
          <w:szCs w:val="32"/>
          <w:lang w:val="en-US" w:eastAsia="zh-CN"/>
        </w:rPr>
        <w:t>条</w:t>
      </w:r>
      <w:r>
        <w:rPr>
          <w:rFonts w:hint="eastAsia" w:ascii="仿宋_GB2312" w:hAnsi="Times New Roman" w:eastAsia="仿宋_GB2312" w:cs="Times New Roman"/>
          <w:sz w:val="32"/>
          <w:szCs w:val="32"/>
          <w:lang w:val="en-US" w:eastAsia="zh-CN"/>
        </w:rPr>
        <w:t xml:space="preserve"> 本办法由宁波鄞州银行公益基金会制定、修改、解释。如本办法条款与国家法律法规发生冲突，以国家法律法规为准。</w:t>
      </w:r>
    </w:p>
    <w:p w14:paraId="370CBE52">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第五十</w:t>
      </w:r>
      <w:r>
        <w:rPr>
          <w:rFonts w:hint="eastAsia" w:ascii="楷体_GB2312" w:cs="Times New Roman"/>
          <w:color w:val="000000"/>
          <w:sz w:val="32"/>
          <w:szCs w:val="32"/>
          <w:lang w:val="en-US" w:eastAsia="zh-CN"/>
        </w:rPr>
        <w:t>四</w:t>
      </w:r>
      <w:r>
        <w:rPr>
          <w:rFonts w:hint="eastAsia" w:ascii="楷体_GB2312" w:hAnsi="Times New Roman" w:eastAsia="楷体_GB2312" w:cs="Times New Roman"/>
          <w:color w:val="000000"/>
          <w:sz w:val="32"/>
          <w:szCs w:val="32"/>
          <w:lang w:val="en-US" w:eastAsia="zh-CN"/>
        </w:rPr>
        <w:t>条</w:t>
      </w:r>
      <w:r>
        <w:rPr>
          <w:rFonts w:hint="eastAsia" w:ascii="仿宋_GB2312" w:hAnsi="Times New Roman" w:eastAsia="仿宋_GB2312" w:cs="Times New Roman"/>
          <w:sz w:val="32"/>
          <w:szCs w:val="32"/>
          <w:lang w:val="en-US" w:eastAsia="zh-CN"/>
        </w:rPr>
        <w:t xml:space="preserve"> 本办法自</w:t>
      </w:r>
      <w:r>
        <w:rPr>
          <w:rFonts w:hint="eastAsia" w:ascii="方正仿宋简体" w:hAnsi="等线" w:eastAsia="方正仿宋简体" w:cs="方正小标宋简体"/>
          <w:kern w:val="0"/>
          <w:sz w:val="32"/>
          <w:szCs w:val="32"/>
          <w:lang w:val="en-US" w:eastAsia="zh-CN"/>
        </w:rPr>
        <w:t>理事会</w:t>
      </w:r>
      <w:r>
        <w:rPr>
          <w:rFonts w:hint="eastAsia" w:ascii="仿宋_GB2312" w:hAnsi="Times New Roman" w:eastAsia="仿宋_GB2312" w:cs="Times New Roman"/>
          <w:sz w:val="32"/>
          <w:szCs w:val="32"/>
          <w:lang w:val="en-US" w:eastAsia="zh-CN"/>
        </w:rPr>
        <w:t>审议通过后，自颁布之日起施行。</w:t>
      </w:r>
    </w:p>
    <w:p w14:paraId="4B63DB7B">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p>
    <w:p w14:paraId="573D3F40">
      <w:pPr>
        <w:keepNext w:val="0"/>
        <w:keepLines w:val="0"/>
        <w:pageBreakBefore w:val="0"/>
        <w:widowControl/>
        <w:suppressLineNumbers w:val="0"/>
        <w:kinsoku/>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kern w:val="0"/>
          <w:sz w:val="28"/>
          <w:szCs w:val="28"/>
          <w:lang w:val="en-US" w:eastAsia="zh-CN" w:bidi="ar"/>
        </w:rPr>
      </w:pPr>
    </w:p>
    <w:p w14:paraId="1C60BB67">
      <w:pPr>
        <w:spacing w:line="560" w:lineRule="exact"/>
        <w:ind w:right="640" w:firstLine="640" w:firstLineChars="200"/>
        <w:jc w:val="right"/>
        <w:rPr>
          <w:rFonts w:hint="default" w:ascii="仿宋_GB2312" w:hAnsi="黑体" w:eastAsia="仿宋_GB2312"/>
          <w:color w:val="000000"/>
          <w:sz w:val="32"/>
          <w:szCs w:val="32"/>
          <w:lang w:val="en-US" w:eastAsia="zh-CN"/>
        </w:rPr>
      </w:pPr>
      <w:r>
        <w:rPr>
          <w:rFonts w:hint="eastAsia" w:ascii="仿宋_GB2312" w:hAnsi="黑体" w:eastAsia="仿宋_GB2312"/>
          <w:color w:val="000000"/>
          <w:sz w:val="32"/>
          <w:szCs w:val="32"/>
        </w:rPr>
        <w:t>宁波鄞州银行</w:t>
      </w:r>
      <w:r>
        <w:rPr>
          <w:rFonts w:hint="eastAsia" w:ascii="仿宋_GB2312" w:hAnsi="黑体" w:eastAsia="仿宋_GB2312"/>
          <w:color w:val="000000"/>
          <w:sz w:val="32"/>
          <w:szCs w:val="32"/>
          <w:lang w:val="en-US" w:eastAsia="zh-CN"/>
        </w:rPr>
        <w:t>公益基金会</w:t>
      </w:r>
    </w:p>
    <w:p w14:paraId="46146204">
      <w:pPr>
        <w:keepNext w:val="0"/>
        <w:keepLines w:val="0"/>
        <w:pageBreakBefore w:val="0"/>
        <w:widowControl/>
        <w:suppressLineNumbers w:val="0"/>
        <w:kinsoku/>
        <w:wordWrap/>
        <w:overflowPunct/>
        <w:topLinePunct w:val="0"/>
        <w:autoSpaceDE/>
        <w:autoSpaceDN/>
        <w:bidi w:val="0"/>
        <w:adjustRightInd/>
        <w:snapToGrid/>
        <w:spacing w:line="556"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二〇二六年一月二十三日</w:t>
      </w:r>
    </w:p>
    <w:p w14:paraId="78CCD2EC">
      <w:pPr>
        <w:keepNext w:val="0"/>
        <w:keepLines w:val="0"/>
        <w:pageBreakBefore w:val="0"/>
        <w:widowControl/>
        <w:suppressLineNumbers w:val="0"/>
        <w:kinsoku/>
        <w:wordWrap/>
        <w:overflowPunct/>
        <w:topLinePunct w:val="0"/>
        <w:autoSpaceDE/>
        <w:autoSpaceDN/>
        <w:bidi w:val="0"/>
        <w:adjustRightInd/>
        <w:snapToGrid/>
        <w:spacing w:line="556" w:lineRule="exact"/>
        <w:ind w:firstLine="640" w:firstLineChars="200"/>
        <w:jc w:val="center"/>
        <w:textAlignment w:val="auto"/>
        <w:rPr>
          <w:rFonts w:hint="eastAsia" w:ascii="仿宋" w:hAnsi="仿宋" w:eastAsia="仿宋" w:cs="仿宋"/>
          <w:sz w:val="32"/>
          <w:szCs w:val="32"/>
          <w:lang w:val="en-US" w:eastAsia="zh-CN"/>
        </w:rPr>
      </w:pPr>
    </w:p>
    <w:p w14:paraId="24652E8D">
      <w:r>
        <w:br w:type="page"/>
      </w:r>
    </w:p>
    <w:p w14:paraId="37888CBD">
      <w:pPr>
        <w:pageBreakBefore w:val="0"/>
        <w:kinsoku/>
        <w:overflowPunct/>
        <w:topLinePunct w:val="0"/>
        <w:autoSpaceDE/>
        <w:autoSpaceDN/>
        <w:bidi w:val="0"/>
        <w:adjustRightInd/>
        <w:snapToGrid/>
        <w:spacing w:line="560" w:lineRule="exact"/>
        <w:jc w:val="left"/>
        <w:textAlignment w:val="auto"/>
        <w:rPr>
          <w:rFonts w:hint="eastAsia" w:ascii="仿宋_GB2312" w:hAnsi="Times New Roman" w:eastAsia="仿宋_GB2312" w:cs="Times New Roman"/>
          <w:b w:val="0"/>
          <w:bCs w:val="0"/>
          <w:sz w:val="32"/>
          <w:szCs w:val="32"/>
          <w:lang w:val="en-US" w:eastAsia="zh-CN"/>
        </w:rPr>
      </w:pPr>
      <w:r>
        <w:rPr>
          <w:rFonts w:hint="eastAsia" w:ascii="仿宋_GB2312" w:hAnsi="Times New Roman" w:eastAsia="仿宋_GB2312" w:cs="Times New Roman"/>
          <w:b w:val="0"/>
          <w:bCs w:val="0"/>
          <w:sz w:val="32"/>
          <w:szCs w:val="32"/>
          <w:lang w:val="en-US" w:eastAsia="zh-CN"/>
        </w:rPr>
        <w:t>附件1：</w:t>
      </w:r>
    </w:p>
    <w:p w14:paraId="797BB884">
      <w:pPr>
        <w:keepNext w:val="0"/>
        <w:keepLines w:val="0"/>
        <w:pageBreakBefore w:val="0"/>
        <w:widowControl/>
        <w:suppressLineNumbers w:val="0"/>
        <w:kinsoku/>
        <w:overflowPunct/>
        <w:topLinePunct w:val="0"/>
        <w:autoSpaceDE/>
        <w:autoSpaceDN/>
        <w:bidi w:val="0"/>
        <w:adjustRightInd/>
        <w:snapToGrid/>
        <w:spacing w:line="560" w:lineRule="exact"/>
        <w:jc w:val="center"/>
        <w:textAlignment w:val="auto"/>
        <w:rPr>
          <w:rFonts w:hint="eastAsia" w:ascii="方正小标宋简体" w:hAnsi="黑体" w:eastAsia="方正小标宋简体" w:cs="Times New Roman"/>
          <w:color w:val="000000"/>
          <w:sz w:val="44"/>
          <w:szCs w:val="44"/>
          <w:lang w:val="en-US" w:eastAsia="zh-CN"/>
        </w:rPr>
      </w:pPr>
    </w:p>
    <w:p w14:paraId="75E8AAD7">
      <w:pPr>
        <w:keepNext w:val="0"/>
        <w:keepLines w:val="0"/>
        <w:pageBreakBefore w:val="0"/>
        <w:widowControl/>
        <w:suppressLineNumbers w:val="0"/>
        <w:kinsoku/>
        <w:overflowPunct/>
        <w:topLinePunct w:val="0"/>
        <w:autoSpaceDE/>
        <w:autoSpaceDN/>
        <w:bidi w:val="0"/>
        <w:adjustRightInd/>
        <w:snapToGrid/>
        <w:spacing w:line="560" w:lineRule="exact"/>
        <w:jc w:val="center"/>
        <w:textAlignment w:val="auto"/>
        <w:rPr>
          <w:rFonts w:hint="eastAsia" w:ascii="方正小标宋简体" w:hAnsi="黑体" w:eastAsia="方正小标宋简体" w:cs="Times New Roman"/>
          <w:color w:val="000000"/>
          <w:sz w:val="44"/>
          <w:szCs w:val="44"/>
          <w:lang w:val="en-US" w:eastAsia="zh-CN"/>
        </w:rPr>
      </w:pPr>
      <w:r>
        <w:rPr>
          <w:rFonts w:hint="eastAsia" w:ascii="方正小标宋简体" w:hAnsi="黑体" w:eastAsia="方正小标宋简体" w:cs="Times New Roman"/>
          <w:color w:val="000000"/>
          <w:sz w:val="44"/>
          <w:szCs w:val="44"/>
          <w:lang w:val="en-US" w:eastAsia="zh-CN"/>
        </w:rPr>
        <w:t>宁波鄞州银行公益基金会应聘登记表</w:t>
      </w:r>
    </w:p>
    <w:p w14:paraId="78506CDE">
      <w:pPr>
        <w:pageBreakBefore w:val="0"/>
        <w:kinsoku/>
        <w:overflowPunct/>
        <w:topLinePunct w:val="0"/>
        <w:autoSpaceDE/>
        <w:autoSpaceDN/>
        <w:bidi w:val="0"/>
        <w:adjustRightInd/>
        <w:snapToGrid/>
        <w:spacing w:line="560" w:lineRule="exact"/>
        <w:ind w:firstLine="640" w:firstLineChars="200"/>
        <w:jc w:val="right"/>
        <w:textAlignment w:val="auto"/>
        <w:rPr>
          <w:rFonts w:hint="eastAsia" w:ascii="方正小标宋简体" w:hAnsi="黑体" w:eastAsia="方正小标宋简体" w:cs="Times New Roman"/>
          <w:color w:val="000000"/>
          <w:sz w:val="44"/>
          <w:szCs w:val="44"/>
          <w:lang w:val="en-US" w:eastAsia="zh-CN"/>
        </w:rPr>
      </w:pPr>
      <w:r>
        <w:rPr>
          <w:rFonts w:hint="eastAsia" w:ascii="仿宋_GB2312" w:hAnsi="Times New Roman" w:eastAsia="仿宋_GB2312" w:cs="Times New Roman"/>
          <w:sz w:val="32"/>
          <w:szCs w:val="32"/>
          <w:lang w:val="en-US" w:eastAsia="zh-CN"/>
        </w:rPr>
        <w:t>年    月    日</w:t>
      </w:r>
    </w:p>
    <w:tbl>
      <w:tblPr>
        <w:tblStyle w:val="2"/>
        <w:tblpPr w:leftFromText="180" w:rightFromText="180" w:vertAnchor="text" w:horzAnchor="page" w:tblpX="1337" w:tblpY="551"/>
        <w:tblOverlap w:val="never"/>
        <w:tblW w:w="93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0"/>
        <w:gridCol w:w="1340"/>
        <w:gridCol w:w="172"/>
        <w:gridCol w:w="709"/>
        <w:gridCol w:w="127"/>
        <w:gridCol w:w="319"/>
        <w:gridCol w:w="288"/>
        <w:gridCol w:w="910"/>
        <w:gridCol w:w="868"/>
        <w:gridCol w:w="1099"/>
        <w:gridCol w:w="1200"/>
        <w:gridCol w:w="981"/>
      </w:tblGrid>
      <w:tr w14:paraId="6C9A9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9" w:hRule="atLeast"/>
        </w:trPr>
        <w:tc>
          <w:tcPr>
            <w:tcW w:w="9393" w:type="dxa"/>
            <w:gridSpan w:val="12"/>
            <w:noWrap w:val="0"/>
            <w:vAlign w:val="center"/>
          </w:tcPr>
          <w:p w14:paraId="1530D217">
            <w:pPr>
              <w:keepNext w:val="0"/>
              <w:keepLines w:val="0"/>
              <w:pageBreakBefore w:val="0"/>
              <w:widowControl/>
              <w:suppressLineNumbers w:val="0"/>
              <w:kinsoku/>
              <w:wordWrap/>
              <w:overflowPunct/>
              <w:topLinePunct w:val="0"/>
              <w:autoSpaceDE/>
              <w:autoSpaceDN/>
              <w:bidi w:val="0"/>
              <w:adjustRightInd/>
              <w:snapToGrid/>
              <w:spacing w:line="240" w:lineRule="exact"/>
              <w:ind w:firstLine="422" w:firstLineChars="200"/>
              <w:jc w:val="center"/>
              <w:textAlignment w:val="auto"/>
              <w:rPr>
                <w:rFonts w:hint="eastAsia" w:ascii="仿宋" w:hAnsi="仿宋" w:eastAsia="仿宋" w:cs="仿宋"/>
                <w:color w:val="000000"/>
                <w:kern w:val="0"/>
                <w:sz w:val="21"/>
                <w:szCs w:val="21"/>
                <w:lang w:val="en-US" w:eastAsia="zh-CN" w:bidi="ar"/>
              </w:rPr>
            </w:pPr>
            <w:r>
              <w:rPr>
                <w:rFonts w:hint="eastAsia" w:ascii="仿宋" w:hAnsi="仿宋" w:eastAsia="仿宋" w:cs="仿宋"/>
                <w:b/>
                <w:bCs/>
                <w:color w:val="000000"/>
                <w:kern w:val="0"/>
                <w:sz w:val="21"/>
                <w:szCs w:val="21"/>
                <w:lang w:val="en-US" w:eastAsia="zh-CN" w:bidi="ar"/>
              </w:rPr>
              <w:t>个人基本信息</w:t>
            </w:r>
          </w:p>
        </w:tc>
      </w:tr>
      <w:tr w14:paraId="0DE63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trPr>
        <w:tc>
          <w:tcPr>
            <w:tcW w:w="1380" w:type="dxa"/>
            <w:noWrap w:val="0"/>
            <w:vAlign w:val="center"/>
          </w:tcPr>
          <w:p w14:paraId="1806D610">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21"/>
                <w:szCs w:val="21"/>
                <w:lang w:val="en-US" w:eastAsia="zh-CN" w:bidi="ar"/>
              </w:rPr>
            </w:pPr>
            <w:r>
              <w:rPr>
                <w:rFonts w:hint="eastAsia" w:ascii="仿宋" w:hAnsi="仿宋" w:eastAsia="仿宋" w:cs="仿宋"/>
                <w:color w:val="000000"/>
                <w:kern w:val="0"/>
                <w:sz w:val="21"/>
                <w:szCs w:val="21"/>
                <w:lang w:val="en-US" w:eastAsia="zh-CN" w:bidi="ar"/>
              </w:rPr>
              <w:t>姓    名</w:t>
            </w:r>
          </w:p>
        </w:tc>
        <w:tc>
          <w:tcPr>
            <w:tcW w:w="1512" w:type="dxa"/>
            <w:gridSpan w:val="2"/>
            <w:noWrap w:val="0"/>
            <w:vAlign w:val="center"/>
          </w:tcPr>
          <w:p w14:paraId="5CD42B5F">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836" w:type="dxa"/>
            <w:gridSpan w:val="2"/>
            <w:noWrap w:val="0"/>
            <w:vAlign w:val="center"/>
          </w:tcPr>
          <w:p w14:paraId="3B08533C">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21"/>
                <w:szCs w:val="21"/>
                <w:lang w:val="en-US" w:eastAsia="zh-CN" w:bidi="ar"/>
              </w:rPr>
            </w:pPr>
            <w:r>
              <w:rPr>
                <w:rFonts w:hint="eastAsia" w:ascii="仿宋" w:hAnsi="仿宋" w:eastAsia="仿宋" w:cs="仿宋"/>
                <w:color w:val="000000"/>
                <w:kern w:val="0"/>
                <w:sz w:val="21"/>
                <w:szCs w:val="21"/>
                <w:lang w:val="en-US" w:eastAsia="zh-CN" w:bidi="ar"/>
              </w:rPr>
              <w:t>性别</w:t>
            </w:r>
          </w:p>
        </w:tc>
        <w:tc>
          <w:tcPr>
            <w:tcW w:w="1517" w:type="dxa"/>
            <w:gridSpan w:val="3"/>
            <w:noWrap w:val="0"/>
            <w:vAlign w:val="center"/>
          </w:tcPr>
          <w:p w14:paraId="3EBD90D2">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868" w:type="dxa"/>
            <w:noWrap w:val="0"/>
            <w:vAlign w:val="center"/>
          </w:tcPr>
          <w:p w14:paraId="4172835D">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21"/>
                <w:szCs w:val="21"/>
                <w:lang w:val="en-US" w:eastAsia="zh-CN" w:bidi="ar"/>
              </w:rPr>
            </w:pPr>
            <w:r>
              <w:rPr>
                <w:rFonts w:hint="eastAsia" w:ascii="仿宋" w:hAnsi="仿宋" w:eastAsia="仿宋" w:cs="仿宋"/>
                <w:color w:val="000000"/>
                <w:kern w:val="0"/>
                <w:sz w:val="21"/>
                <w:szCs w:val="21"/>
                <w:lang w:val="en-US" w:eastAsia="zh-CN" w:bidi="ar"/>
              </w:rPr>
              <w:t>民族</w:t>
            </w:r>
          </w:p>
        </w:tc>
        <w:tc>
          <w:tcPr>
            <w:tcW w:w="1099" w:type="dxa"/>
            <w:noWrap w:val="0"/>
            <w:vAlign w:val="center"/>
          </w:tcPr>
          <w:p w14:paraId="2EC25B0D">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1200" w:type="dxa"/>
            <w:noWrap w:val="0"/>
            <w:vAlign w:val="center"/>
          </w:tcPr>
          <w:p w14:paraId="4CF5C0DA">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21"/>
                <w:szCs w:val="21"/>
                <w:lang w:val="en-US" w:eastAsia="zh-CN" w:bidi="ar"/>
              </w:rPr>
            </w:pPr>
            <w:r>
              <w:rPr>
                <w:rFonts w:hint="eastAsia" w:ascii="仿宋" w:hAnsi="仿宋" w:eastAsia="仿宋" w:cs="仿宋"/>
                <w:color w:val="000000"/>
                <w:kern w:val="0"/>
                <w:sz w:val="21"/>
                <w:szCs w:val="21"/>
                <w:lang w:val="en-US" w:eastAsia="zh-CN" w:bidi="ar"/>
              </w:rPr>
              <w:t>政治面貌</w:t>
            </w:r>
          </w:p>
        </w:tc>
        <w:tc>
          <w:tcPr>
            <w:tcW w:w="981" w:type="dxa"/>
            <w:noWrap w:val="0"/>
            <w:vAlign w:val="center"/>
          </w:tcPr>
          <w:p w14:paraId="702A1C71">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r>
      <w:tr w14:paraId="5CB95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380" w:type="dxa"/>
            <w:noWrap w:val="0"/>
            <w:vAlign w:val="center"/>
          </w:tcPr>
          <w:p w14:paraId="64DA501F">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21"/>
                <w:szCs w:val="21"/>
                <w:lang w:val="en-US" w:eastAsia="zh-CN" w:bidi="ar"/>
              </w:rPr>
            </w:pPr>
            <w:r>
              <w:rPr>
                <w:rFonts w:hint="eastAsia" w:ascii="仿宋" w:hAnsi="仿宋" w:eastAsia="仿宋" w:cs="仿宋"/>
                <w:color w:val="000000"/>
                <w:kern w:val="0"/>
                <w:sz w:val="21"/>
                <w:szCs w:val="21"/>
                <w:lang w:val="en-US" w:eastAsia="zh-CN" w:bidi="ar"/>
              </w:rPr>
              <w:t>出生年月</w:t>
            </w:r>
          </w:p>
        </w:tc>
        <w:tc>
          <w:tcPr>
            <w:tcW w:w="1512" w:type="dxa"/>
            <w:gridSpan w:val="2"/>
            <w:noWrap w:val="0"/>
            <w:vAlign w:val="center"/>
          </w:tcPr>
          <w:p w14:paraId="3BB602BE">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836" w:type="dxa"/>
            <w:gridSpan w:val="2"/>
            <w:noWrap w:val="0"/>
            <w:vAlign w:val="center"/>
          </w:tcPr>
          <w:p w14:paraId="04DCDA51">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21"/>
                <w:szCs w:val="21"/>
                <w:lang w:val="en-US" w:eastAsia="zh-CN" w:bidi="ar"/>
              </w:rPr>
            </w:pPr>
            <w:r>
              <w:rPr>
                <w:rFonts w:hint="eastAsia" w:ascii="仿宋" w:hAnsi="仿宋" w:eastAsia="仿宋" w:cs="仿宋"/>
                <w:color w:val="000000"/>
                <w:kern w:val="0"/>
                <w:sz w:val="21"/>
                <w:szCs w:val="21"/>
                <w:lang w:val="en-US" w:eastAsia="zh-CN" w:bidi="ar"/>
              </w:rPr>
              <w:t>身高</w:t>
            </w:r>
          </w:p>
        </w:tc>
        <w:tc>
          <w:tcPr>
            <w:tcW w:w="1517" w:type="dxa"/>
            <w:gridSpan w:val="3"/>
            <w:noWrap w:val="0"/>
            <w:vAlign w:val="center"/>
          </w:tcPr>
          <w:p w14:paraId="6160274D">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868" w:type="dxa"/>
            <w:noWrap w:val="0"/>
            <w:vAlign w:val="center"/>
          </w:tcPr>
          <w:p w14:paraId="17A44C65">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21"/>
                <w:szCs w:val="21"/>
                <w:lang w:val="en-US" w:eastAsia="zh-CN" w:bidi="ar"/>
              </w:rPr>
            </w:pPr>
            <w:r>
              <w:rPr>
                <w:rFonts w:hint="eastAsia" w:ascii="仿宋" w:hAnsi="仿宋" w:eastAsia="仿宋" w:cs="仿宋"/>
                <w:color w:val="000000"/>
                <w:kern w:val="0"/>
                <w:sz w:val="21"/>
                <w:szCs w:val="21"/>
                <w:lang w:val="en-US" w:eastAsia="zh-CN" w:bidi="ar"/>
              </w:rPr>
              <w:t>婚否</w:t>
            </w:r>
          </w:p>
        </w:tc>
        <w:tc>
          <w:tcPr>
            <w:tcW w:w="1099" w:type="dxa"/>
            <w:noWrap w:val="0"/>
            <w:vAlign w:val="center"/>
          </w:tcPr>
          <w:p w14:paraId="74A1AF5E">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1200" w:type="dxa"/>
            <w:noWrap w:val="0"/>
            <w:vAlign w:val="center"/>
          </w:tcPr>
          <w:p w14:paraId="23AEADAC">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21"/>
                <w:szCs w:val="21"/>
                <w:lang w:val="en-US" w:eastAsia="zh-CN" w:bidi="ar"/>
              </w:rPr>
            </w:pPr>
            <w:r>
              <w:rPr>
                <w:rFonts w:hint="eastAsia" w:ascii="仿宋" w:hAnsi="仿宋" w:eastAsia="仿宋" w:cs="仿宋"/>
                <w:color w:val="000000"/>
                <w:kern w:val="0"/>
                <w:sz w:val="21"/>
                <w:szCs w:val="21"/>
                <w:lang w:val="en-US" w:eastAsia="zh-CN" w:bidi="ar"/>
              </w:rPr>
              <w:t>籍贯</w:t>
            </w:r>
          </w:p>
        </w:tc>
        <w:tc>
          <w:tcPr>
            <w:tcW w:w="981" w:type="dxa"/>
            <w:noWrap w:val="0"/>
            <w:vAlign w:val="center"/>
          </w:tcPr>
          <w:p w14:paraId="2D935B65">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r>
      <w:tr w14:paraId="2FBD0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380" w:type="dxa"/>
            <w:noWrap w:val="0"/>
            <w:vAlign w:val="center"/>
          </w:tcPr>
          <w:p w14:paraId="168B917B">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21"/>
                <w:szCs w:val="21"/>
                <w:lang w:val="en-US" w:eastAsia="zh-CN" w:bidi="ar"/>
              </w:rPr>
            </w:pPr>
            <w:r>
              <w:rPr>
                <w:rFonts w:hint="eastAsia" w:ascii="仿宋" w:hAnsi="仿宋" w:eastAsia="仿宋" w:cs="仿宋"/>
                <w:color w:val="000000"/>
                <w:kern w:val="0"/>
                <w:sz w:val="21"/>
                <w:szCs w:val="21"/>
                <w:lang w:val="en-US" w:eastAsia="zh-CN" w:bidi="ar"/>
              </w:rPr>
              <w:t>身份证号</w:t>
            </w:r>
          </w:p>
        </w:tc>
        <w:tc>
          <w:tcPr>
            <w:tcW w:w="3865" w:type="dxa"/>
            <w:gridSpan w:val="7"/>
            <w:noWrap w:val="0"/>
            <w:vAlign w:val="center"/>
          </w:tcPr>
          <w:p w14:paraId="4945A8FA">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868" w:type="dxa"/>
            <w:noWrap w:val="0"/>
            <w:vAlign w:val="center"/>
          </w:tcPr>
          <w:p w14:paraId="48FBE372">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21"/>
                <w:szCs w:val="21"/>
                <w:lang w:val="en-US" w:eastAsia="zh-CN" w:bidi="ar"/>
              </w:rPr>
            </w:pPr>
            <w:r>
              <w:rPr>
                <w:rFonts w:hint="eastAsia" w:ascii="仿宋" w:hAnsi="仿宋" w:eastAsia="仿宋" w:cs="仿宋"/>
                <w:color w:val="000000"/>
                <w:kern w:val="0"/>
                <w:sz w:val="21"/>
                <w:szCs w:val="21"/>
                <w:lang w:val="en-US" w:eastAsia="zh-CN" w:bidi="ar"/>
              </w:rPr>
              <w:t>学历</w:t>
            </w:r>
          </w:p>
        </w:tc>
        <w:tc>
          <w:tcPr>
            <w:tcW w:w="3280" w:type="dxa"/>
            <w:gridSpan w:val="3"/>
            <w:noWrap w:val="0"/>
            <w:vAlign w:val="center"/>
          </w:tcPr>
          <w:p w14:paraId="3FBAEB24">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r>
      <w:tr w14:paraId="78591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380" w:type="dxa"/>
            <w:noWrap w:val="0"/>
            <w:vAlign w:val="center"/>
          </w:tcPr>
          <w:p w14:paraId="79579C79">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21"/>
                <w:szCs w:val="21"/>
                <w:lang w:val="en-US" w:eastAsia="zh-CN" w:bidi="ar"/>
              </w:rPr>
            </w:pPr>
            <w:r>
              <w:rPr>
                <w:rFonts w:hint="eastAsia" w:ascii="仿宋" w:hAnsi="仿宋" w:eastAsia="仿宋" w:cs="仿宋"/>
                <w:color w:val="000000"/>
                <w:kern w:val="0"/>
                <w:sz w:val="21"/>
                <w:szCs w:val="21"/>
                <w:lang w:val="en-US" w:eastAsia="zh-CN" w:bidi="ar"/>
              </w:rPr>
              <w:t>手机号码</w:t>
            </w:r>
          </w:p>
        </w:tc>
        <w:tc>
          <w:tcPr>
            <w:tcW w:w="1512" w:type="dxa"/>
            <w:gridSpan w:val="2"/>
            <w:noWrap w:val="0"/>
            <w:vAlign w:val="center"/>
          </w:tcPr>
          <w:p w14:paraId="2DCDBC8A">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1443" w:type="dxa"/>
            <w:gridSpan w:val="4"/>
            <w:noWrap w:val="0"/>
            <w:vAlign w:val="center"/>
          </w:tcPr>
          <w:p w14:paraId="698A1161">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21"/>
                <w:szCs w:val="21"/>
                <w:lang w:val="en-US" w:eastAsia="zh-CN" w:bidi="ar"/>
              </w:rPr>
            </w:pPr>
            <w:r>
              <w:rPr>
                <w:rFonts w:hint="eastAsia" w:ascii="仿宋" w:hAnsi="仿宋" w:eastAsia="仿宋" w:cs="仿宋"/>
                <w:color w:val="000000"/>
                <w:kern w:val="0"/>
                <w:sz w:val="21"/>
                <w:szCs w:val="21"/>
                <w:lang w:val="en-US" w:eastAsia="zh-CN" w:bidi="ar"/>
              </w:rPr>
              <w:t>固定电话</w:t>
            </w:r>
          </w:p>
        </w:tc>
        <w:tc>
          <w:tcPr>
            <w:tcW w:w="1778" w:type="dxa"/>
            <w:gridSpan w:val="2"/>
            <w:noWrap w:val="0"/>
            <w:vAlign w:val="center"/>
          </w:tcPr>
          <w:p w14:paraId="32133467">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1099" w:type="dxa"/>
            <w:noWrap w:val="0"/>
            <w:vAlign w:val="center"/>
          </w:tcPr>
          <w:p w14:paraId="08F35050">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21"/>
                <w:szCs w:val="21"/>
                <w:lang w:val="en-US" w:eastAsia="zh-CN" w:bidi="ar"/>
              </w:rPr>
            </w:pPr>
            <w:r>
              <w:rPr>
                <w:rFonts w:hint="eastAsia" w:ascii="仿宋" w:hAnsi="仿宋" w:eastAsia="仿宋" w:cs="仿宋"/>
                <w:color w:val="000000"/>
                <w:kern w:val="0"/>
                <w:sz w:val="21"/>
                <w:szCs w:val="21"/>
                <w:lang w:val="en-US" w:eastAsia="zh-CN" w:bidi="ar"/>
              </w:rPr>
              <w:t>邮箱</w:t>
            </w:r>
          </w:p>
        </w:tc>
        <w:tc>
          <w:tcPr>
            <w:tcW w:w="2181" w:type="dxa"/>
            <w:gridSpan w:val="2"/>
            <w:noWrap w:val="0"/>
            <w:vAlign w:val="center"/>
          </w:tcPr>
          <w:p w14:paraId="1E7AECA6">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r>
      <w:tr w14:paraId="0ECA3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380" w:type="dxa"/>
            <w:noWrap w:val="0"/>
            <w:vAlign w:val="center"/>
          </w:tcPr>
          <w:p w14:paraId="23B470AF">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21"/>
                <w:szCs w:val="21"/>
                <w:lang w:val="en-US" w:eastAsia="zh-CN" w:bidi="ar"/>
              </w:rPr>
            </w:pPr>
            <w:r>
              <w:rPr>
                <w:rFonts w:hint="eastAsia" w:ascii="仿宋" w:hAnsi="仿宋" w:eastAsia="仿宋" w:cs="仿宋"/>
                <w:color w:val="000000"/>
                <w:kern w:val="0"/>
                <w:sz w:val="21"/>
                <w:szCs w:val="21"/>
                <w:lang w:val="en-US" w:eastAsia="zh-CN" w:bidi="ar"/>
              </w:rPr>
              <w:t>通讯地址</w:t>
            </w:r>
          </w:p>
        </w:tc>
        <w:tc>
          <w:tcPr>
            <w:tcW w:w="4733" w:type="dxa"/>
            <w:gridSpan w:val="8"/>
            <w:noWrap w:val="0"/>
            <w:vAlign w:val="center"/>
          </w:tcPr>
          <w:p w14:paraId="6A781CA6">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1099" w:type="dxa"/>
            <w:noWrap w:val="0"/>
            <w:vAlign w:val="center"/>
          </w:tcPr>
          <w:p w14:paraId="606C8C79">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21"/>
                <w:szCs w:val="21"/>
                <w:lang w:val="en-US" w:eastAsia="zh-CN" w:bidi="ar"/>
              </w:rPr>
            </w:pPr>
            <w:r>
              <w:rPr>
                <w:rFonts w:hint="eastAsia" w:ascii="仿宋" w:hAnsi="仿宋" w:eastAsia="仿宋" w:cs="仿宋"/>
                <w:color w:val="000000"/>
                <w:kern w:val="0"/>
                <w:sz w:val="21"/>
                <w:szCs w:val="21"/>
                <w:lang w:val="en-US" w:eastAsia="zh-CN" w:bidi="ar"/>
              </w:rPr>
              <w:t>户口属性</w:t>
            </w:r>
          </w:p>
        </w:tc>
        <w:tc>
          <w:tcPr>
            <w:tcW w:w="2181" w:type="dxa"/>
            <w:gridSpan w:val="2"/>
            <w:noWrap w:val="0"/>
            <w:vAlign w:val="center"/>
          </w:tcPr>
          <w:p w14:paraId="5CFF0D37">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r>
      <w:tr w14:paraId="2429F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380" w:type="dxa"/>
            <w:noWrap w:val="0"/>
            <w:vAlign w:val="center"/>
          </w:tcPr>
          <w:p w14:paraId="386EA799">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21"/>
                <w:szCs w:val="21"/>
                <w:lang w:val="en-US" w:eastAsia="zh-CN" w:bidi="ar"/>
              </w:rPr>
            </w:pPr>
            <w:r>
              <w:rPr>
                <w:rFonts w:hint="eastAsia" w:ascii="仿宋" w:hAnsi="仿宋" w:eastAsia="仿宋" w:cs="仿宋"/>
                <w:color w:val="000000"/>
                <w:kern w:val="0"/>
                <w:sz w:val="21"/>
                <w:szCs w:val="21"/>
                <w:lang w:val="en-US" w:eastAsia="zh-CN" w:bidi="ar"/>
              </w:rPr>
              <w:t>紧急联系人</w:t>
            </w:r>
          </w:p>
        </w:tc>
        <w:tc>
          <w:tcPr>
            <w:tcW w:w="1512" w:type="dxa"/>
            <w:gridSpan w:val="2"/>
            <w:noWrap w:val="0"/>
            <w:vAlign w:val="center"/>
          </w:tcPr>
          <w:p w14:paraId="66C724A2">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1443" w:type="dxa"/>
            <w:gridSpan w:val="4"/>
            <w:noWrap w:val="0"/>
            <w:tcMar>
              <w:left w:w="57" w:type="dxa"/>
              <w:right w:w="57" w:type="dxa"/>
            </w:tcMar>
            <w:vAlign w:val="center"/>
          </w:tcPr>
          <w:p w14:paraId="08C758EB">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21"/>
                <w:szCs w:val="21"/>
                <w:lang w:val="en-US" w:eastAsia="zh-CN" w:bidi="ar"/>
              </w:rPr>
            </w:pPr>
            <w:r>
              <w:rPr>
                <w:rFonts w:hint="eastAsia" w:ascii="仿宋" w:hAnsi="仿宋" w:eastAsia="仿宋" w:cs="仿宋"/>
                <w:color w:val="000000"/>
                <w:kern w:val="0"/>
                <w:sz w:val="21"/>
                <w:szCs w:val="21"/>
                <w:lang w:val="en-US" w:eastAsia="zh-CN" w:bidi="ar"/>
              </w:rPr>
              <w:t>紧急联系电话</w:t>
            </w:r>
          </w:p>
        </w:tc>
        <w:tc>
          <w:tcPr>
            <w:tcW w:w="1778" w:type="dxa"/>
            <w:gridSpan w:val="2"/>
            <w:noWrap w:val="0"/>
            <w:vAlign w:val="center"/>
          </w:tcPr>
          <w:p w14:paraId="67AC885E">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1099" w:type="dxa"/>
            <w:noWrap w:val="0"/>
            <w:vAlign w:val="center"/>
          </w:tcPr>
          <w:p w14:paraId="140134B9">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21"/>
                <w:szCs w:val="21"/>
                <w:lang w:val="en-US" w:eastAsia="zh-CN" w:bidi="ar"/>
              </w:rPr>
            </w:pPr>
            <w:r>
              <w:rPr>
                <w:rFonts w:hint="eastAsia" w:ascii="仿宋" w:hAnsi="仿宋" w:eastAsia="仿宋" w:cs="仿宋"/>
                <w:color w:val="000000"/>
                <w:kern w:val="0"/>
                <w:sz w:val="21"/>
                <w:szCs w:val="21"/>
                <w:lang w:val="en-US" w:eastAsia="zh-CN" w:bidi="ar"/>
              </w:rPr>
              <w:t>关系</w:t>
            </w:r>
          </w:p>
        </w:tc>
        <w:tc>
          <w:tcPr>
            <w:tcW w:w="2181" w:type="dxa"/>
            <w:gridSpan w:val="2"/>
            <w:noWrap w:val="0"/>
            <w:vAlign w:val="center"/>
          </w:tcPr>
          <w:p w14:paraId="50B658DA">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r>
      <w:tr w14:paraId="1E350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393" w:type="dxa"/>
            <w:gridSpan w:val="12"/>
            <w:noWrap w:val="0"/>
            <w:vAlign w:val="center"/>
          </w:tcPr>
          <w:p w14:paraId="272CAA50">
            <w:pPr>
              <w:keepNext w:val="0"/>
              <w:keepLines w:val="0"/>
              <w:pageBreakBefore w:val="0"/>
              <w:widowControl/>
              <w:suppressLineNumbers w:val="0"/>
              <w:kinsoku/>
              <w:wordWrap/>
              <w:overflowPunct/>
              <w:topLinePunct w:val="0"/>
              <w:autoSpaceDE/>
              <w:autoSpaceDN/>
              <w:bidi w:val="0"/>
              <w:adjustRightInd/>
              <w:snapToGrid/>
              <w:spacing w:line="240" w:lineRule="exact"/>
              <w:ind w:firstLine="422" w:firstLineChars="200"/>
              <w:jc w:val="center"/>
              <w:textAlignment w:val="auto"/>
              <w:rPr>
                <w:rFonts w:hint="eastAsia" w:ascii="仿宋" w:hAnsi="仿宋" w:eastAsia="仿宋" w:cs="仿宋"/>
                <w:color w:val="000000"/>
                <w:kern w:val="0"/>
                <w:sz w:val="21"/>
                <w:szCs w:val="21"/>
                <w:lang w:val="en-US" w:eastAsia="zh-CN" w:bidi="ar"/>
              </w:rPr>
            </w:pPr>
            <w:r>
              <w:rPr>
                <w:rFonts w:hint="eastAsia" w:ascii="仿宋" w:hAnsi="仿宋" w:eastAsia="仿宋" w:cs="仿宋"/>
                <w:b/>
                <w:bCs/>
                <w:color w:val="000000"/>
                <w:kern w:val="0"/>
                <w:sz w:val="21"/>
                <w:szCs w:val="21"/>
                <w:lang w:val="en-US" w:eastAsia="zh-CN" w:bidi="ar"/>
              </w:rPr>
              <w:t>学习经历（包括培训）</w:t>
            </w:r>
          </w:p>
        </w:tc>
      </w:tr>
      <w:tr w14:paraId="10D37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380" w:type="dxa"/>
            <w:noWrap w:val="0"/>
            <w:vAlign w:val="center"/>
          </w:tcPr>
          <w:p w14:paraId="4319B3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1"/>
                <w:szCs w:val="21"/>
                <w:lang w:val="en-US" w:eastAsia="zh-CN" w:bidi="ar"/>
              </w:rPr>
            </w:pPr>
            <w:r>
              <w:rPr>
                <w:rFonts w:hint="eastAsia" w:ascii="仿宋" w:hAnsi="仿宋" w:eastAsia="仿宋" w:cs="仿宋"/>
                <w:color w:val="000000"/>
                <w:kern w:val="0"/>
                <w:sz w:val="21"/>
                <w:szCs w:val="21"/>
                <w:lang w:val="en-US" w:eastAsia="zh-CN" w:bidi="ar"/>
              </w:rPr>
              <w:t>时间</w:t>
            </w:r>
          </w:p>
        </w:tc>
        <w:tc>
          <w:tcPr>
            <w:tcW w:w="2667" w:type="dxa"/>
            <w:gridSpan w:val="5"/>
            <w:noWrap w:val="0"/>
            <w:vAlign w:val="center"/>
          </w:tcPr>
          <w:p w14:paraId="7EB764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1"/>
                <w:szCs w:val="21"/>
                <w:lang w:val="en-US" w:eastAsia="zh-CN" w:bidi="ar"/>
              </w:rPr>
            </w:pPr>
            <w:r>
              <w:rPr>
                <w:rFonts w:hint="eastAsia" w:ascii="仿宋" w:hAnsi="仿宋" w:eastAsia="仿宋" w:cs="仿宋"/>
                <w:color w:val="000000"/>
                <w:kern w:val="0"/>
                <w:sz w:val="21"/>
                <w:szCs w:val="21"/>
                <w:lang w:val="en-US" w:eastAsia="zh-CN" w:bidi="ar"/>
              </w:rPr>
              <w:t>毕业学校</w:t>
            </w:r>
          </w:p>
        </w:tc>
        <w:tc>
          <w:tcPr>
            <w:tcW w:w="3165" w:type="dxa"/>
            <w:gridSpan w:val="4"/>
            <w:noWrap w:val="0"/>
            <w:vAlign w:val="center"/>
          </w:tcPr>
          <w:p w14:paraId="618669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1"/>
                <w:szCs w:val="21"/>
                <w:lang w:val="en-US" w:eastAsia="zh-CN" w:bidi="ar"/>
              </w:rPr>
            </w:pPr>
            <w:r>
              <w:rPr>
                <w:rFonts w:hint="eastAsia" w:ascii="仿宋" w:hAnsi="仿宋" w:eastAsia="仿宋" w:cs="仿宋"/>
                <w:color w:val="000000"/>
                <w:kern w:val="0"/>
                <w:sz w:val="21"/>
                <w:szCs w:val="21"/>
                <w:lang w:val="en-US" w:eastAsia="zh-CN" w:bidi="ar"/>
              </w:rPr>
              <w:t>专业</w:t>
            </w:r>
          </w:p>
        </w:tc>
        <w:tc>
          <w:tcPr>
            <w:tcW w:w="2181" w:type="dxa"/>
            <w:gridSpan w:val="2"/>
            <w:noWrap w:val="0"/>
            <w:vAlign w:val="center"/>
          </w:tcPr>
          <w:p w14:paraId="0D6B02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1"/>
                <w:szCs w:val="21"/>
                <w:lang w:val="en-US" w:eastAsia="zh-CN" w:bidi="ar"/>
              </w:rPr>
            </w:pPr>
            <w:r>
              <w:rPr>
                <w:rFonts w:hint="eastAsia" w:ascii="仿宋" w:hAnsi="仿宋" w:eastAsia="仿宋" w:cs="仿宋"/>
                <w:color w:val="000000"/>
                <w:kern w:val="0"/>
                <w:sz w:val="21"/>
                <w:szCs w:val="21"/>
                <w:lang w:val="en-US" w:eastAsia="zh-CN" w:bidi="ar"/>
              </w:rPr>
              <w:t>升学方式（保送/统招/自考/成教）</w:t>
            </w:r>
          </w:p>
        </w:tc>
      </w:tr>
      <w:tr w14:paraId="68A80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9" w:hRule="atLeast"/>
        </w:trPr>
        <w:tc>
          <w:tcPr>
            <w:tcW w:w="1380" w:type="dxa"/>
            <w:noWrap w:val="0"/>
            <w:vAlign w:val="center"/>
          </w:tcPr>
          <w:p w14:paraId="1C14070B">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2667" w:type="dxa"/>
            <w:gridSpan w:val="5"/>
            <w:noWrap w:val="0"/>
            <w:vAlign w:val="center"/>
          </w:tcPr>
          <w:p w14:paraId="4ACC019F">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3165" w:type="dxa"/>
            <w:gridSpan w:val="4"/>
            <w:noWrap w:val="0"/>
            <w:vAlign w:val="center"/>
          </w:tcPr>
          <w:p w14:paraId="72680547">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2181" w:type="dxa"/>
            <w:gridSpan w:val="2"/>
            <w:noWrap w:val="0"/>
            <w:vAlign w:val="center"/>
          </w:tcPr>
          <w:p w14:paraId="082717FA">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r>
      <w:tr w14:paraId="459BD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2" w:hRule="atLeast"/>
        </w:trPr>
        <w:tc>
          <w:tcPr>
            <w:tcW w:w="1380" w:type="dxa"/>
            <w:noWrap w:val="0"/>
            <w:vAlign w:val="center"/>
          </w:tcPr>
          <w:p w14:paraId="62964D4B">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2667" w:type="dxa"/>
            <w:gridSpan w:val="5"/>
            <w:noWrap w:val="0"/>
            <w:vAlign w:val="center"/>
          </w:tcPr>
          <w:p w14:paraId="6F34C63D">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3165" w:type="dxa"/>
            <w:gridSpan w:val="4"/>
            <w:noWrap w:val="0"/>
            <w:vAlign w:val="center"/>
          </w:tcPr>
          <w:p w14:paraId="492EAE4E">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2181" w:type="dxa"/>
            <w:gridSpan w:val="2"/>
            <w:noWrap w:val="0"/>
            <w:vAlign w:val="center"/>
          </w:tcPr>
          <w:p w14:paraId="62428763">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r>
      <w:tr w14:paraId="60E49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1380" w:type="dxa"/>
            <w:noWrap w:val="0"/>
            <w:vAlign w:val="center"/>
          </w:tcPr>
          <w:p w14:paraId="3FFEBCF3">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2667" w:type="dxa"/>
            <w:gridSpan w:val="5"/>
            <w:noWrap w:val="0"/>
            <w:vAlign w:val="center"/>
          </w:tcPr>
          <w:p w14:paraId="07CFAB83">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3165" w:type="dxa"/>
            <w:gridSpan w:val="4"/>
            <w:noWrap w:val="0"/>
            <w:vAlign w:val="center"/>
          </w:tcPr>
          <w:p w14:paraId="43AB448D">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2181" w:type="dxa"/>
            <w:gridSpan w:val="2"/>
            <w:noWrap w:val="0"/>
            <w:vAlign w:val="center"/>
          </w:tcPr>
          <w:p w14:paraId="01530719">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r>
      <w:tr w14:paraId="14F60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9393" w:type="dxa"/>
            <w:gridSpan w:val="12"/>
            <w:noWrap w:val="0"/>
            <w:vAlign w:val="center"/>
          </w:tcPr>
          <w:p w14:paraId="0BAF107A">
            <w:pPr>
              <w:keepNext w:val="0"/>
              <w:keepLines w:val="0"/>
              <w:pageBreakBefore w:val="0"/>
              <w:widowControl/>
              <w:suppressLineNumbers w:val="0"/>
              <w:kinsoku/>
              <w:wordWrap/>
              <w:overflowPunct/>
              <w:topLinePunct w:val="0"/>
              <w:autoSpaceDE/>
              <w:autoSpaceDN/>
              <w:bidi w:val="0"/>
              <w:adjustRightInd/>
              <w:snapToGrid/>
              <w:spacing w:line="240" w:lineRule="exact"/>
              <w:ind w:firstLine="422" w:firstLineChars="200"/>
              <w:jc w:val="center"/>
              <w:textAlignment w:val="auto"/>
              <w:rPr>
                <w:rFonts w:hint="eastAsia" w:ascii="仿宋" w:hAnsi="仿宋" w:eastAsia="仿宋" w:cs="仿宋"/>
                <w:color w:val="000000"/>
                <w:kern w:val="0"/>
                <w:sz w:val="21"/>
                <w:szCs w:val="21"/>
                <w:lang w:val="en-US" w:eastAsia="zh-CN" w:bidi="ar"/>
              </w:rPr>
            </w:pPr>
            <w:r>
              <w:rPr>
                <w:rFonts w:hint="eastAsia" w:ascii="仿宋" w:hAnsi="仿宋" w:eastAsia="仿宋" w:cs="仿宋"/>
                <w:b/>
                <w:bCs/>
                <w:color w:val="000000"/>
                <w:kern w:val="0"/>
                <w:sz w:val="21"/>
                <w:szCs w:val="21"/>
                <w:lang w:val="en-US" w:eastAsia="zh-CN" w:bidi="ar"/>
              </w:rPr>
              <w:t>工作经历</w:t>
            </w:r>
          </w:p>
        </w:tc>
      </w:tr>
      <w:tr w14:paraId="03248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380" w:type="dxa"/>
            <w:noWrap w:val="0"/>
            <w:vAlign w:val="center"/>
          </w:tcPr>
          <w:p w14:paraId="024FF1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1"/>
                <w:szCs w:val="21"/>
                <w:lang w:val="en-US" w:eastAsia="zh-CN" w:bidi="ar"/>
              </w:rPr>
            </w:pPr>
            <w:r>
              <w:rPr>
                <w:rFonts w:hint="eastAsia" w:ascii="仿宋" w:hAnsi="仿宋" w:eastAsia="仿宋" w:cs="仿宋"/>
                <w:color w:val="000000"/>
                <w:kern w:val="0"/>
                <w:sz w:val="21"/>
                <w:szCs w:val="21"/>
                <w:lang w:val="en-US" w:eastAsia="zh-CN" w:bidi="ar"/>
              </w:rPr>
              <w:t>工作时间</w:t>
            </w:r>
          </w:p>
        </w:tc>
        <w:tc>
          <w:tcPr>
            <w:tcW w:w="2667" w:type="dxa"/>
            <w:gridSpan w:val="5"/>
            <w:noWrap w:val="0"/>
            <w:vAlign w:val="center"/>
          </w:tcPr>
          <w:p w14:paraId="71FA73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1"/>
                <w:szCs w:val="21"/>
                <w:lang w:val="en-US" w:eastAsia="zh-CN" w:bidi="ar"/>
              </w:rPr>
            </w:pPr>
            <w:r>
              <w:rPr>
                <w:rFonts w:hint="eastAsia" w:ascii="仿宋" w:hAnsi="仿宋" w:eastAsia="仿宋" w:cs="仿宋"/>
                <w:color w:val="000000"/>
                <w:kern w:val="0"/>
                <w:sz w:val="21"/>
                <w:szCs w:val="21"/>
                <w:lang w:val="en-US" w:eastAsia="zh-CN" w:bidi="ar"/>
              </w:rPr>
              <w:t>工作单位及岗位</w:t>
            </w:r>
          </w:p>
        </w:tc>
        <w:tc>
          <w:tcPr>
            <w:tcW w:w="3165" w:type="dxa"/>
            <w:gridSpan w:val="4"/>
            <w:noWrap w:val="0"/>
            <w:vAlign w:val="center"/>
          </w:tcPr>
          <w:p w14:paraId="0F2F2E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1"/>
                <w:szCs w:val="21"/>
                <w:lang w:val="en-US" w:eastAsia="zh-CN" w:bidi="ar"/>
              </w:rPr>
            </w:pPr>
            <w:r>
              <w:rPr>
                <w:rFonts w:hint="eastAsia" w:ascii="仿宋" w:hAnsi="仿宋" w:eastAsia="仿宋" w:cs="仿宋"/>
                <w:color w:val="000000"/>
                <w:kern w:val="0"/>
                <w:sz w:val="21"/>
                <w:szCs w:val="21"/>
                <w:lang w:val="en-US" w:eastAsia="zh-CN" w:bidi="ar"/>
              </w:rPr>
              <w:t>离职原因</w:t>
            </w:r>
          </w:p>
        </w:tc>
        <w:tc>
          <w:tcPr>
            <w:tcW w:w="2181" w:type="dxa"/>
            <w:gridSpan w:val="2"/>
            <w:noWrap w:val="0"/>
            <w:vAlign w:val="center"/>
          </w:tcPr>
          <w:p w14:paraId="689012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1"/>
                <w:szCs w:val="21"/>
                <w:lang w:val="en-US" w:eastAsia="zh-CN" w:bidi="ar"/>
              </w:rPr>
            </w:pPr>
            <w:r>
              <w:rPr>
                <w:rFonts w:hint="eastAsia" w:ascii="仿宋" w:hAnsi="仿宋" w:eastAsia="仿宋" w:cs="仿宋"/>
                <w:color w:val="000000"/>
                <w:kern w:val="0"/>
                <w:sz w:val="21"/>
                <w:szCs w:val="21"/>
                <w:lang w:val="en-US" w:eastAsia="zh-CN" w:bidi="ar"/>
              </w:rPr>
              <w:t>证明人及联系方式</w:t>
            </w:r>
          </w:p>
        </w:tc>
      </w:tr>
      <w:tr w14:paraId="02843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380" w:type="dxa"/>
            <w:noWrap w:val="0"/>
            <w:vAlign w:val="center"/>
          </w:tcPr>
          <w:p w14:paraId="0126CD99">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2667" w:type="dxa"/>
            <w:gridSpan w:val="5"/>
            <w:noWrap w:val="0"/>
            <w:vAlign w:val="center"/>
          </w:tcPr>
          <w:p w14:paraId="2F4B916F">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3165" w:type="dxa"/>
            <w:gridSpan w:val="4"/>
            <w:noWrap w:val="0"/>
            <w:vAlign w:val="center"/>
          </w:tcPr>
          <w:p w14:paraId="5AAE2044">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2181" w:type="dxa"/>
            <w:gridSpan w:val="2"/>
            <w:noWrap w:val="0"/>
            <w:vAlign w:val="center"/>
          </w:tcPr>
          <w:p w14:paraId="1564C4F7">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r>
      <w:tr w14:paraId="0CC1E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380" w:type="dxa"/>
            <w:noWrap w:val="0"/>
            <w:vAlign w:val="center"/>
          </w:tcPr>
          <w:p w14:paraId="3554F9B1">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2667" w:type="dxa"/>
            <w:gridSpan w:val="5"/>
            <w:noWrap w:val="0"/>
            <w:vAlign w:val="center"/>
          </w:tcPr>
          <w:p w14:paraId="5BBAD6B7">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3165" w:type="dxa"/>
            <w:gridSpan w:val="4"/>
            <w:noWrap w:val="0"/>
            <w:vAlign w:val="center"/>
          </w:tcPr>
          <w:p w14:paraId="24F10860">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2181" w:type="dxa"/>
            <w:gridSpan w:val="2"/>
            <w:noWrap w:val="0"/>
            <w:vAlign w:val="center"/>
          </w:tcPr>
          <w:p w14:paraId="63A3D476">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r>
      <w:tr w14:paraId="721A4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380" w:type="dxa"/>
            <w:noWrap w:val="0"/>
            <w:vAlign w:val="center"/>
          </w:tcPr>
          <w:p w14:paraId="2934D0B9">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2667" w:type="dxa"/>
            <w:gridSpan w:val="5"/>
            <w:noWrap w:val="0"/>
            <w:vAlign w:val="center"/>
          </w:tcPr>
          <w:p w14:paraId="7965866B">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3165" w:type="dxa"/>
            <w:gridSpan w:val="4"/>
            <w:noWrap w:val="0"/>
            <w:vAlign w:val="center"/>
          </w:tcPr>
          <w:p w14:paraId="2580809E">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2181" w:type="dxa"/>
            <w:gridSpan w:val="2"/>
            <w:noWrap w:val="0"/>
            <w:vAlign w:val="center"/>
          </w:tcPr>
          <w:p w14:paraId="17806436">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r>
      <w:tr w14:paraId="583E7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380" w:type="dxa"/>
            <w:noWrap w:val="0"/>
            <w:vAlign w:val="center"/>
          </w:tcPr>
          <w:p w14:paraId="1512506D">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2667" w:type="dxa"/>
            <w:gridSpan w:val="5"/>
            <w:noWrap w:val="0"/>
            <w:vAlign w:val="center"/>
          </w:tcPr>
          <w:p w14:paraId="4CA2646E">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3165" w:type="dxa"/>
            <w:gridSpan w:val="4"/>
            <w:noWrap w:val="0"/>
            <w:vAlign w:val="center"/>
          </w:tcPr>
          <w:p w14:paraId="7D675512">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2181" w:type="dxa"/>
            <w:gridSpan w:val="2"/>
            <w:noWrap w:val="0"/>
            <w:vAlign w:val="center"/>
          </w:tcPr>
          <w:p w14:paraId="1B5C8743">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r>
      <w:tr w14:paraId="45FEC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393" w:type="dxa"/>
            <w:gridSpan w:val="12"/>
            <w:noWrap w:val="0"/>
            <w:vAlign w:val="center"/>
          </w:tcPr>
          <w:p w14:paraId="73A957DC">
            <w:pPr>
              <w:keepNext w:val="0"/>
              <w:keepLines w:val="0"/>
              <w:pageBreakBefore w:val="0"/>
              <w:widowControl/>
              <w:suppressLineNumbers w:val="0"/>
              <w:kinsoku/>
              <w:wordWrap/>
              <w:overflowPunct/>
              <w:topLinePunct w:val="0"/>
              <w:autoSpaceDE/>
              <w:autoSpaceDN/>
              <w:bidi w:val="0"/>
              <w:adjustRightInd/>
              <w:snapToGrid/>
              <w:spacing w:line="240" w:lineRule="exact"/>
              <w:ind w:firstLine="422" w:firstLineChars="200"/>
              <w:jc w:val="center"/>
              <w:textAlignment w:val="auto"/>
              <w:rPr>
                <w:rFonts w:hint="eastAsia" w:ascii="仿宋" w:hAnsi="仿宋" w:eastAsia="仿宋" w:cs="仿宋"/>
                <w:color w:val="000000"/>
                <w:kern w:val="0"/>
                <w:sz w:val="21"/>
                <w:szCs w:val="21"/>
                <w:lang w:val="en-US" w:eastAsia="zh-CN" w:bidi="ar"/>
              </w:rPr>
            </w:pPr>
            <w:r>
              <w:rPr>
                <w:rFonts w:hint="eastAsia" w:ascii="仿宋" w:hAnsi="仿宋" w:eastAsia="仿宋" w:cs="仿宋"/>
                <w:b/>
                <w:bCs/>
                <w:color w:val="000000"/>
                <w:kern w:val="0"/>
                <w:sz w:val="21"/>
                <w:szCs w:val="21"/>
                <w:lang w:val="en-US" w:eastAsia="zh-CN" w:bidi="ar"/>
              </w:rPr>
              <w:t>家庭基本情况</w:t>
            </w:r>
          </w:p>
        </w:tc>
      </w:tr>
      <w:tr w14:paraId="64125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380" w:type="dxa"/>
            <w:noWrap w:val="0"/>
            <w:vAlign w:val="center"/>
          </w:tcPr>
          <w:p w14:paraId="681D6001">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21"/>
                <w:szCs w:val="21"/>
                <w:lang w:val="en-US" w:eastAsia="zh-CN" w:bidi="ar"/>
              </w:rPr>
            </w:pPr>
            <w:r>
              <w:rPr>
                <w:rFonts w:hint="eastAsia" w:ascii="仿宋" w:hAnsi="仿宋" w:eastAsia="仿宋" w:cs="仿宋"/>
                <w:color w:val="000000"/>
                <w:kern w:val="0"/>
                <w:sz w:val="21"/>
                <w:szCs w:val="21"/>
                <w:lang w:val="en-US" w:eastAsia="zh-CN" w:bidi="ar"/>
              </w:rPr>
              <w:t>关 系</w:t>
            </w:r>
          </w:p>
        </w:tc>
        <w:tc>
          <w:tcPr>
            <w:tcW w:w="1340" w:type="dxa"/>
            <w:noWrap w:val="0"/>
            <w:vAlign w:val="center"/>
          </w:tcPr>
          <w:p w14:paraId="7B61A5C4">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21"/>
                <w:szCs w:val="21"/>
                <w:lang w:val="en-US" w:eastAsia="zh-CN" w:bidi="ar"/>
              </w:rPr>
            </w:pPr>
            <w:r>
              <w:rPr>
                <w:rFonts w:hint="eastAsia" w:ascii="仿宋" w:hAnsi="仿宋" w:eastAsia="仿宋" w:cs="仿宋"/>
                <w:color w:val="000000"/>
                <w:kern w:val="0"/>
                <w:sz w:val="21"/>
                <w:szCs w:val="21"/>
                <w:lang w:val="en-US" w:eastAsia="zh-CN" w:bidi="ar"/>
              </w:rPr>
              <w:t>姓名</w:t>
            </w:r>
          </w:p>
        </w:tc>
        <w:tc>
          <w:tcPr>
            <w:tcW w:w="881" w:type="dxa"/>
            <w:gridSpan w:val="2"/>
            <w:noWrap w:val="0"/>
            <w:vAlign w:val="center"/>
          </w:tcPr>
          <w:p w14:paraId="1F1F9C7B">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21"/>
                <w:szCs w:val="21"/>
                <w:lang w:val="en-US" w:eastAsia="zh-CN" w:bidi="ar"/>
              </w:rPr>
            </w:pPr>
            <w:r>
              <w:rPr>
                <w:rFonts w:hint="eastAsia" w:ascii="仿宋" w:hAnsi="仿宋" w:eastAsia="仿宋" w:cs="仿宋"/>
                <w:color w:val="000000"/>
                <w:kern w:val="0"/>
                <w:sz w:val="21"/>
                <w:szCs w:val="21"/>
                <w:lang w:val="en-US" w:eastAsia="zh-CN" w:bidi="ar"/>
              </w:rPr>
              <w:t>年龄</w:t>
            </w:r>
          </w:p>
        </w:tc>
        <w:tc>
          <w:tcPr>
            <w:tcW w:w="5792" w:type="dxa"/>
            <w:gridSpan w:val="8"/>
            <w:noWrap w:val="0"/>
            <w:vAlign w:val="center"/>
          </w:tcPr>
          <w:p w14:paraId="6D5172FE">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r>
              <w:rPr>
                <w:rFonts w:hint="eastAsia" w:ascii="仿宋" w:hAnsi="仿宋" w:eastAsia="仿宋" w:cs="仿宋"/>
                <w:color w:val="000000"/>
                <w:kern w:val="0"/>
                <w:sz w:val="21"/>
                <w:szCs w:val="21"/>
                <w:lang w:val="en-US" w:eastAsia="zh-CN" w:bidi="ar"/>
              </w:rPr>
              <w:t>现工作单位/岗位</w:t>
            </w:r>
          </w:p>
        </w:tc>
      </w:tr>
      <w:tr w14:paraId="78C73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80" w:type="dxa"/>
            <w:noWrap w:val="0"/>
            <w:vAlign w:val="center"/>
          </w:tcPr>
          <w:p w14:paraId="0A4F7FA8">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1340" w:type="dxa"/>
            <w:noWrap w:val="0"/>
            <w:vAlign w:val="center"/>
          </w:tcPr>
          <w:p w14:paraId="35D465A0">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881" w:type="dxa"/>
            <w:gridSpan w:val="2"/>
            <w:noWrap w:val="0"/>
            <w:vAlign w:val="center"/>
          </w:tcPr>
          <w:p w14:paraId="6FDEDF2A">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5792" w:type="dxa"/>
            <w:gridSpan w:val="8"/>
            <w:noWrap w:val="0"/>
            <w:vAlign w:val="center"/>
          </w:tcPr>
          <w:p w14:paraId="363D84F7">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r>
      <w:tr w14:paraId="717AE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80" w:type="dxa"/>
            <w:noWrap w:val="0"/>
            <w:vAlign w:val="center"/>
          </w:tcPr>
          <w:p w14:paraId="2EC8B6D7">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1340" w:type="dxa"/>
            <w:noWrap w:val="0"/>
            <w:vAlign w:val="center"/>
          </w:tcPr>
          <w:p w14:paraId="5C71E0CA">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881" w:type="dxa"/>
            <w:gridSpan w:val="2"/>
            <w:noWrap w:val="0"/>
            <w:vAlign w:val="center"/>
          </w:tcPr>
          <w:p w14:paraId="5DC9F29A">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5792" w:type="dxa"/>
            <w:gridSpan w:val="8"/>
            <w:noWrap w:val="0"/>
            <w:vAlign w:val="center"/>
          </w:tcPr>
          <w:p w14:paraId="50DED583">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r>
      <w:tr w14:paraId="75725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80" w:type="dxa"/>
            <w:noWrap w:val="0"/>
            <w:vAlign w:val="center"/>
          </w:tcPr>
          <w:p w14:paraId="2FBB08D4">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1340" w:type="dxa"/>
            <w:noWrap w:val="0"/>
            <w:vAlign w:val="center"/>
          </w:tcPr>
          <w:p w14:paraId="692D0487">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881" w:type="dxa"/>
            <w:gridSpan w:val="2"/>
            <w:noWrap w:val="0"/>
            <w:vAlign w:val="center"/>
          </w:tcPr>
          <w:p w14:paraId="7AE018ED">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5792" w:type="dxa"/>
            <w:gridSpan w:val="8"/>
            <w:noWrap w:val="0"/>
            <w:vAlign w:val="center"/>
          </w:tcPr>
          <w:p w14:paraId="6C541B37">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r>
      <w:tr w14:paraId="68B64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80" w:type="dxa"/>
            <w:noWrap w:val="0"/>
            <w:vAlign w:val="center"/>
          </w:tcPr>
          <w:p w14:paraId="34ADCE29">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1340" w:type="dxa"/>
            <w:noWrap w:val="0"/>
            <w:vAlign w:val="center"/>
          </w:tcPr>
          <w:p w14:paraId="312CAA58">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881" w:type="dxa"/>
            <w:gridSpan w:val="2"/>
            <w:noWrap w:val="0"/>
            <w:vAlign w:val="center"/>
          </w:tcPr>
          <w:p w14:paraId="58A41D92">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c>
          <w:tcPr>
            <w:tcW w:w="5792" w:type="dxa"/>
            <w:gridSpan w:val="8"/>
            <w:noWrap w:val="0"/>
            <w:vAlign w:val="center"/>
          </w:tcPr>
          <w:p w14:paraId="4655DE83">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center"/>
              <w:textAlignment w:val="auto"/>
              <w:rPr>
                <w:rFonts w:hint="eastAsia" w:ascii="仿宋" w:hAnsi="仿宋" w:eastAsia="仿宋" w:cs="仿宋"/>
                <w:color w:val="000000"/>
                <w:kern w:val="0"/>
                <w:sz w:val="21"/>
                <w:szCs w:val="21"/>
                <w:lang w:val="en-US" w:eastAsia="zh-CN" w:bidi="ar"/>
              </w:rPr>
            </w:pPr>
          </w:p>
        </w:tc>
      </w:tr>
    </w:tbl>
    <w:p w14:paraId="2BDD6A31">
      <w:pPr>
        <w:pageBreakBefore w:val="0"/>
        <w:kinsoku/>
        <w:overflowPunct/>
        <w:topLinePunct w:val="0"/>
        <w:autoSpaceDE/>
        <w:autoSpaceDN/>
        <w:bidi w:val="0"/>
        <w:adjustRightInd/>
        <w:snapToGrid/>
        <w:spacing w:line="560" w:lineRule="exact"/>
        <w:jc w:val="left"/>
        <w:textAlignment w:val="auto"/>
        <w:rPr>
          <w:rFonts w:hint="eastAsia" w:ascii="仿宋_GB2312" w:hAnsi="Times New Roman" w:eastAsia="仿宋_GB2312" w:cs="Times New Roman"/>
          <w:b w:val="0"/>
          <w:bCs w:val="0"/>
          <w:sz w:val="32"/>
          <w:szCs w:val="32"/>
          <w:lang w:val="en-US" w:eastAsia="zh-CN"/>
        </w:rPr>
      </w:pPr>
      <w:r>
        <w:rPr>
          <w:rFonts w:hint="eastAsia" w:ascii="仿宋_GB2312" w:hAnsi="Times New Roman" w:eastAsia="仿宋_GB2312" w:cs="Times New Roman"/>
          <w:b w:val="0"/>
          <w:bCs w:val="0"/>
          <w:sz w:val="32"/>
          <w:szCs w:val="32"/>
          <w:lang w:val="en-US" w:eastAsia="zh-CN"/>
        </w:rPr>
        <w:t>附件2：</w:t>
      </w:r>
    </w:p>
    <w:p w14:paraId="6E0AC5C6">
      <w:pPr>
        <w:pageBreakBefore w:val="0"/>
        <w:kinsoku/>
        <w:overflowPunct/>
        <w:topLinePunct w:val="0"/>
        <w:autoSpaceDE/>
        <w:autoSpaceDN/>
        <w:bidi w:val="0"/>
        <w:adjustRightInd/>
        <w:snapToGrid/>
        <w:spacing w:line="560" w:lineRule="exact"/>
        <w:jc w:val="left"/>
        <w:textAlignment w:val="auto"/>
        <w:rPr>
          <w:rFonts w:hint="eastAsia" w:ascii="仿宋_GB2312" w:hAnsi="Times New Roman" w:eastAsia="仿宋_GB2312" w:cs="Times New Roman"/>
          <w:b w:val="0"/>
          <w:bCs w:val="0"/>
          <w:sz w:val="32"/>
          <w:szCs w:val="32"/>
          <w:lang w:val="en-US" w:eastAsia="zh-CN"/>
        </w:rPr>
      </w:pPr>
    </w:p>
    <w:p w14:paraId="42BAB0F5">
      <w:pPr>
        <w:pageBreakBefore w:val="0"/>
        <w:kinsoku/>
        <w:overflowPunct/>
        <w:topLinePunct w:val="0"/>
        <w:autoSpaceDE/>
        <w:autoSpaceDN/>
        <w:bidi w:val="0"/>
        <w:adjustRightInd/>
        <w:snapToGrid/>
        <w:spacing w:line="560" w:lineRule="exact"/>
        <w:jc w:val="center"/>
        <w:textAlignment w:val="auto"/>
        <w:outlineLvl w:val="0"/>
        <w:rPr>
          <w:rFonts w:hint="eastAsia" w:ascii="方正小标宋简体" w:hAnsi="黑体" w:eastAsia="方正小标宋简体" w:cs="Times New Roman"/>
          <w:color w:val="000000"/>
          <w:sz w:val="44"/>
          <w:szCs w:val="44"/>
          <w:lang w:val="en-US" w:eastAsia="zh-CN"/>
        </w:rPr>
      </w:pPr>
      <w:r>
        <w:rPr>
          <w:rFonts w:hint="eastAsia" w:ascii="方正小标宋简体" w:hAnsi="黑体" w:eastAsia="方正小标宋简体" w:cs="Times New Roman"/>
          <w:color w:val="000000"/>
          <w:sz w:val="44"/>
          <w:szCs w:val="44"/>
          <w:lang w:val="en-US" w:eastAsia="zh-CN"/>
        </w:rPr>
        <w:t>宁波鄞州银行公益基金会</w:t>
      </w:r>
    </w:p>
    <w:p w14:paraId="2440FE3C">
      <w:pPr>
        <w:pageBreakBefore w:val="0"/>
        <w:kinsoku/>
        <w:overflowPunct/>
        <w:topLinePunct w:val="0"/>
        <w:autoSpaceDE/>
        <w:autoSpaceDN/>
        <w:bidi w:val="0"/>
        <w:adjustRightInd/>
        <w:snapToGrid/>
        <w:spacing w:line="560" w:lineRule="exact"/>
        <w:jc w:val="center"/>
        <w:textAlignment w:val="auto"/>
        <w:outlineLvl w:val="0"/>
        <w:rPr>
          <w:rFonts w:hint="eastAsia" w:ascii="方正小标宋简体" w:hAnsi="黑体" w:eastAsia="方正小标宋简体" w:cs="Times New Roman"/>
          <w:color w:val="000000"/>
          <w:sz w:val="44"/>
          <w:szCs w:val="44"/>
        </w:rPr>
      </w:pPr>
      <w:r>
        <w:rPr>
          <w:rFonts w:hint="eastAsia" w:ascii="方正小标宋简体" w:hAnsi="黑体" w:eastAsia="方正小标宋简体" w:cs="Times New Roman"/>
          <w:color w:val="000000"/>
          <w:sz w:val="44"/>
          <w:szCs w:val="44"/>
        </w:rPr>
        <w:t>伦理道德行为守则声明</w:t>
      </w:r>
    </w:p>
    <w:p w14:paraId="02B126B4">
      <w:pPr>
        <w:pageBreakBefore w:val="0"/>
        <w:kinsoku/>
        <w:overflowPunct/>
        <w:topLinePunct w:val="0"/>
        <w:autoSpaceDE/>
        <w:autoSpaceDN/>
        <w:bidi w:val="0"/>
        <w:adjustRightInd/>
        <w:snapToGrid/>
        <w:spacing w:line="560" w:lineRule="exact"/>
        <w:ind w:firstLine="560" w:firstLineChars="200"/>
        <w:textAlignment w:val="auto"/>
        <w:rPr>
          <w:rFonts w:hint="eastAsia"/>
          <w:sz w:val="28"/>
          <w:szCs w:val="28"/>
        </w:rPr>
      </w:pPr>
    </w:p>
    <w:p w14:paraId="6E9BD7BB">
      <w:pPr>
        <w:pageBreakBefore w:val="0"/>
        <w:kinsoku/>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本人（机构）已认真阅读和学习《宁波鄞州银行公益基金会伦理道德行为守则》，并自愿遵守守则中规定的全部条款，如因个人（机构）原因违背《宁波鄞州银行公益基金会伦理道德行为守则》相关条款造成对基金会以及公益行业声誉造成负面影响，本人（机构）承诺承担全部相应责任。</w:t>
      </w:r>
    </w:p>
    <w:p w14:paraId="258B439B">
      <w:pPr>
        <w:keepNext w:val="0"/>
        <w:keepLines w:val="0"/>
        <w:pageBreakBefore w:val="0"/>
        <w:widowControl/>
        <w:suppressLineNumbers w:val="0"/>
        <w:kinsoku/>
        <w:overflowPunct/>
        <w:topLinePunct w:val="0"/>
        <w:autoSpaceDE/>
        <w:autoSpaceDN/>
        <w:bidi w:val="0"/>
        <w:adjustRightInd/>
        <w:snapToGrid/>
        <w:spacing w:line="560" w:lineRule="exact"/>
        <w:ind w:firstLine="560" w:firstLineChars="200"/>
        <w:jc w:val="right"/>
        <w:textAlignment w:val="auto"/>
        <w:rPr>
          <w:rFonts w:hint="eastAsia" w:ascii="仿宋" w:hAnsi="仿宋" w:eastAsia="仿宋" w:cs="仿宋"/>
          <w:color w:val="000000"/>
          <w:kern w:val="0"/>
          <w:sz w:val="28"/>
          <w:szCs w:val="28"/>
          <w:lang w:val="en-US" w:eastAsia="zh-CN" w:bidi="ar"/>
        </w:rPr>
      </w:pPr>
    </w:p>
    <w:p w14:paraId="38F2A0C9">
      <w:pPr>
        <w:keepNext w:val="0"/>
        <w:keepLines w:val="0"/>
        <w:pageBreakBefore w:val="0"/>
        <w:widowControl/>
        <w:suppressLineNumbers w:val="0"/>
        <w:kinsoku/>
        <w:overflowPunct/>
        <w:topLinePunct w:val="0"/>
        <w:autoSpaceDE/>
        <w:autoSpaceDN/>
        <w:bidi w:val="0"/>
        <w:adjustRightInd/>
        <w:snapToGrid/>
        <w:spacing w:line="560" w:lineRule="exact"/>
        <w:ind w:firstLine="560" w:firstLineChars="200"/>
        <w:jc w:val="right"/>
        <w:textAlignment w:val="auto"/>
        <w:rPr>
          <w:rFonts w:hint="eastAsia" w:ascii="仿宋" w:hAnsi="仿宋" w:eastAsia="仿宋" w:cs="仿宋"/>
          <w:color w:val="000000"/>
          <w:kern w:val="0"/>
          <w:sz w:val="28"/>
          <w:szCs w:val="28"/>
          <w:lang w:val="en-US" w:eastAsia="zh-CN" w:bidi="ar"/>
        </w:rPr>
      </w:pPr>
    </w:p>
    <w:p w14:paraId="16A82E00">
      <w:pPr>
        <w:keepNext w:val="0"/>
        <w:keepLines w:val="0"/>
        <w:pageBreakBefore w:val="0"/>
        <w:widowControl/>
        <w:suppressLineNumbers w:val="0"/>
        <w:kinsoku/>
        <w:overflowPunct/>
        <w:topLinePunct w:val="0"/>
        <w:autoSpaceDE/>
        <w:autoSpaceDN/>
        <w:bidi w:val="0"/>
        <w:adjustRightInd/>
        <w:snapToGrid/>
        <w:spacing w:line="560" w:lineRule="exact"/>
        <w:ind w:firstLine="560" w:firstLineChars="200"/>
        <w:jc w:val="right"/>
        <w:textAlignment w:val="auto"/>
        <w:rPr>
          <w:rFonts w:hint="eastAsia" w:ascii="仿宋" w:hAnsi="仿宋" w:eastAsia="仿宋" w:cs="仿宋"/>
          <w:color w:val="000000"/>
          <w:kern w:val="0"/>
          <w:sz w:val="28"/>
          <w:szCs w:val="28"/>
          <w:lang w:val="en-US" w:eastAsia="zh-CN" w:bidi="ar"/>
        </w:rPr>
      </w:pPr>
    </w:p>
    <w:p w14:paraId="5ADFF771">
      <w:pPr>
        <w:pageBreakBefore w:val="0"/>
        <w:kinsoku/>
        <w:wordWrap w:val="0"/>
        <w:overflowPunct/>
        <w:topLinePunct w:val="0"/>
        <w:autoSpaceDE/>
        <w:autoSpaceDN/>
        <w:bidi w:val="0"/>
        <w:adjustRightInd/>
        <w:snapToGrid/>
        <w:spacing w:line="560" w:lineRule="exact"/>
        <w:ind w:right="640" w:firstLine="560" w:firstLineChars="200"/>
        <w:jc w:val="right"/>
        <w:textAlignment w:val="auto"/>
        <w:rPr>
          <w:rFonts w:hint="default" w:ascii="仿宋_GB2312" w:hAnsi="黑体" w:eastAsia="仿宋_GB2312" w:cs="Times New Roman"/>
          <w:color w:val="000000"/>
          <w:sz w:val="32"/>
          <w:szCs w:val="32"/>
          <w:lang w:val="en-US" w:eastAsia="zh-CN"/>
        </w:rPr>
      </w:pPr>
      <w:r>
        <w:rPr>
          <w:rFonts w:hint="eastAsia" w:ascii="仿宋" w:hAnsi="仿宋" w:eastAsia="仿宋" w:cs="仿宋"/>
          <w:color w:val="000000"/>
          <w:kern w:val="0"/>
          <w:sz w:val="28"/>
          <w:szCs w:val="28"/>
          <w:lang w:val="en-US" w:eastAsia="zh-CN" w:bidi="ar"/>
        </w:rPr>
        <w:t xml:space="preserve">                       </w:t>
      </w:r>
      <w:r>
        <w:rPr>
          <w:rFonts w:hint="eastAsia" w:ascii="仿宋_GB2312" w:hAnsi="黑体" w:eastAsia="仿宋_GB2312" w:cs="Times New Roman"/>
          <w:color w:val="000000"/>
          <w:sz w:val="32"/>
          <w:szCs w:val="32"/>
          <w:lang w:val="en-US" w:eastAsia="zh-CN"/>
        </w:rPr>
        <w:t xml:space="preserve">声明人（签字）：         </w:t>
      </w:r>
      <w:bookmarkStart w:id="0" w:name="_GoBack"/>
      <w:bookmarkEnd w:id="0"/>
    </w:p>
    <w:p w14:paraId="7C1BFF1C">
      <w:pPr>
        <w:pageBreakBefore w:val="0"/>
        <w:kinsoku/>
        <w:overflowPunct/>
        <w:topLinePunct w:val="0"/>
        <w:autoSpaceDE/>
        <w:autoSpaceDN/>
        <w:bidi w:val="0"/>
        <w:adjustRightInd/>
        <w:snapToGrid/>
        <w:spacing w:line="560" w:lineRule="exact"/>
        <w:ind w:right="640" w:firstLine="640" w:firstLineChars="200"/>
        <w:jc w:val="right"/>
        <w:textAlignment w:val="auto"/>
        <w:rPr>
          <w:rFonts w:hint="default" w:ascii="仿宋_GB2312" w:hAnsi="黑体" w:eastAsia="仿宋_GB2312" w:cs="Times New Roman"/>
          <w:color w:val="000000"/>
          <w:sz w:val="32"/>
          <w:szCs w:val="32"/>
          <w:lang w:val="en-US" w:eastAsia="zh-CN"/>
        </w:rPr>
      </w:pPr>
      <w:r>
        <w:rPr>
          <w:rFonts w:hint="eastAsia" w:ascii="仿宋_GB2312" w:hAnsi="黑体" w:eastAsia="仿宋_GB2312" w:cs="Times New Roman"/>
          <w:color w:val="000000"/>
          <w:sz w:val="32"/>
          <w:szCs w:val="32"/>
          <w:lang w:val="en-US" w:eastAsia="zh-CN"/>
        </w:rPr>
        <w:t xml:space="preserve">                        </w:t>
      </w:r>
    </w:p>
    <w:p w14:paraId="776B4B11">
      <w:pPr>
        <w:keepNext/>
        <w:keepLines/>
        <w:pageBreakBefore w:val="0"/>
        <w:widowControl w:val="0"/>
        <w:kinsoku/>
        <w:wordWrap w:val="0"/>
        <w:overflowPunct/>
        <w:topLinePunct w:val="0"/>
        <w:autoSpaceDE/>
        <w:autoSpaceDN/>
        <w:bidi w:val="0"/>
        <w:adjustRightInd/>
        <w:snapToGrid/>
        <w:spacing w:before="0" w:after="0" w:line="560" w:lineRule="exact"/>
        <w:ind w:left="0" w:leftChars="0" w:firstLine="640" w:firstLineChars="200"/>
        <w:jc w:val="right"/>
        <w:textAlignment w:val="auto"/>
        <w:outlineLvl w:val="0"/>
        <w:rPr>
          <w:rFonts w:hint="default" w:ascii="仿宋_GB2312" w:hAnsi="黑体" w:eastAsia="仿宋_GB2312" w:cs="Times New Roman"/>
          <w:color w:val="000000"/>
          <w:sz w:val="32"/>
          <w:szCs w:val="32"/>
          <w:lang w:val="en-US" w:eastAsia="zh-CN"/>
        </w:rPr>
      </w:pPr>
      <w:r>
        <w:rPr>
          <w:rFonts w:hint="eastAsia" w:ascii="仿宋_GB2312" w:hAnsi="黑体" w:eastAsia="仿宋_GB2312" w:cs="Times New Roman"/>
          <w:color w:val="000000"/>
          <w:sz w:val="32"/>
          <w:szCs w:val="32"/>
          <w:lang w:val="en-US" w:eastAsia="zh-CN"/>
        </w:rPr>
        <w:t xml:space="preserve">年  月  日   </w:t>
      </w:r>
    </w:p>
    <w:p w14:paraId="711F74EB">
      <w:pPr>
        <w:pageBreakBefore w:val="0"/>
        <w:kinsoku/>
        <w:overflowPunct/>
        <w:topLinePunct w:val="0"/>
        <w:autoSpaceDE/>
        <w:autoSpaceDN/>
        <w:bidi w:val="0"/>
        <w:adjustRightInd/>
        <w:snapToGrid/>
        <w:spacing w:line="560" w:lineRule="exact"/>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仿宋简体">
    <w:panose1 w:val="02010601030101010101"/>
    <w:charset w:val="86"/>
    <w:family w:val="script"/>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E00ADA"/>
    <w:rsid w:val="48E00ADA"/>
    <w:rsid w:val="63A23A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楷体_GB2312" w:cs="Times New Roman"/>
      <w:kern w:val="2"/>
      <w:sz w:val="28"/>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0"/>
    <w:pPr>
      <w:keepNext w:val="0"/>
      <w:keepLines w:val="0"/>
      <w:widowControl/>
      <w:suppressLineNumbers w:val="0"/>
      <w:spacing w:before="0" w:beforeAutospacing="0" w:after="0" w:afterAutospacing="0"/>
      <w:ind w:left="0" w:right="0"/>
    </w:pPr>
    <w:rPr>
      <w:rFonts w:hint="default" w:ascii="Calibri" w:hAnsi="Calibri" w:cs="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6569</Words>
  <Characters>6729</Characters>
  <Lines>0</Lines>
  <Paragraphs>0</Paragraphs>
  <TotalTime>0</TotalTime>
  <ScaleCrop>false</ScaleCrop>
  <LinksUpToDate>false</LinksUpToDate>
  <CharactersWithSpaces>6836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2026-08-05T06:12:00Z</dcterms:created>
  <dc:creator>WPS_1746685644</dc:creator>
  <cp:lastModifiedBy>WPS_1746685644</cp:lastModifiedBy>
  <dcterms:modified xsi:type="dcterms:W3CDTF">2026-08-05T06:35:25Z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5372512445B547CBA8C90E8920101265_11</vt:lpwstr>
  </property>
  <property fmtid="{D5CDD505-2E9C-101B-9397-08002B2CF9AE}" pid="4" name="KSOTemplateDocerSaveRecord">
    <vt:lpwstr>eyJoZGlkIjoiMjc5YTc4NzdjZjBmNjNiNzViNWM2MTBkODZjM2RkZGUiLCJ1c2VySWQiOiIxNjk4Mjc1NTU1In0=</vt:lpwstr>
  </property>
</Properties>
</file>