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2581DC">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outlineLvl w:val="0"/>
        <w:rPr>
          <w:rFonts w:hint="eastAsia" w:ascii="方正小标宋简体" w:hAnsi="黑体" w:eastAsia="方正小标宋简体" w:cs="Times New Roman"/>
          <w:color w:val="000000"/>
          <w:sz w:val="44"/>
          <w:szCs w:val="44"/>
        </w:rPr>
      </w:pPr>
      <w:r>
        <w:rPr>
          <w:rFonts w:hint="eastAsia" w:ascii="方正小标宋简体" w:hAnsi="黑体" w:eastAsia="方正小标宋简体" w:cs="Times New Roman"/>
          <w:color w:val="000000"/>
          <w:sz w:val="44"/>
          <w:szCs w:val="44"/>
        </w:rPr>
        <w:t>宁波鄞州银行公益基金会采购管理</w:t>
      </w:r>
      <w:r>
        <w:rPr>
          <w:rFonts w:hint="eastAsia" w:ascii="方正小标宋简体" w:hAnsi="黑体" w:eastAsia="方正小标宋简体" w:cs="Times New Roman"/>
          <w:color w:val="000000"/>
          <w:sz w:val="44"/>
          <w:szCs w:val="44"/>
          <w:lang w:val="en-US" w:eastAsia="zh-CN"/>
        </w:rPr>
        <w:t>办法</w:t>
      </w:r>
    </w:p>
    <w:p w14:paraId="32F41B3B">
      <w:pPr>
        <w:keepNext w:val="0"/>
        <w:keepLines w:val="0"/>
        <w:pageBreakBefore w:val="0"/>
        <w:widowControl w:val="0"/>
        <w:kinsoku/>
        <w:wordWrap/>
        <w:overflowPunct/>
        <w:topLinePunct w:val="0"/>
        <w:autoSpaceDE/>
        <w:autoSpaceDN/>
        <w:bidi w:val="0"/>
        <w:adjustRightInd/>
        <w:snapToGrid/>
        <w:spacing w:line="560" w:lineRule="exact"/>
        <w:ind w:firstLine="643"/>
        <w:jc w:val="center"/>
        <w:textAlignment w:val="auto"/>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lang w:val="en-US" w:eastAsia="zh-CN"/>
        </w:rPr>
        <w:t>修订稿）</w:t>
      </w:r>
    </w:p>
    <w:p w14:paraId="067CEB09">
      <w:pPr>
        <w:keepNext w:val="0"/>
        <w:keepLines w:val="0"/>
        <w:pageBreakBefore w:val="0"/>
        <w:widowControl w:val="0"/>
        <w:kinsoku/>
        <w:wordWrap/>
        <w:overflowPunct/>
        <w:topLinePunct w:val="0"/>
        <w:autoSpaceDE/>
        <w:autoSpaceDN/>
        <w:bidi w:val="0"/>
        <w:adjustRightInd/>
        <w:snapToGrid/>
        <w:spacing w:line="560" w:lineRule="exact"/>
        <w:ind w:firstLine="643"/>
        <w:jc w:val="center"/>
        <w:textAlignment w:val="auto"/>
        <w:rPr>
          <w:rFonts w:hint="default" w:ascii="仿宋_GB2312" w:hAnsi="Times New Roman" w:eastAsia="仿宋_GB2312" w:cs="Times New Roman"/>
          <w:sz w:val="32"/>
          <w:szCs w:val="32"/>
          <w:lang w:val="en-US" w:eastAsia="zh-CN"/>
        </w:rPr>
      </w:pPr>
    </w:p>
    <w:p w14:paraId="00CE2BC4">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outlineLvl w:val="0"/>
        <w:rPr>
          <w:rFonts w:hint="eastAsia" w:ascii="黑体" w:hAnsi="黑体" w:eastAsia="黑体" w:cs="Times New Roman"/>
          <w:color w:val="000000"/>
          <w:sz w:val="32"/>
          <w:szCs w:val="32"/>
        </w:rPr>
      </w:pPr>
      <w:r>
        <w:rPr>
          <w:rFonts w:hint="eastAsia" w:ascii="黑体" w:hAnsi="黑体" w:eastAsia="黑体" w:cs="Times New Roman"/>
          <w:color w:val="000000"/>
          <w:sz w:val="32"/>
          <w:szCs w:val="32"/>
        </w:rPr>
        <w:t>第一章 总则</w:t>
      </w:r>
    </w:p>
    <w:p w14:paraId="6C4E18F9">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Times New Roman" w:eastAsia="仿宋_GB2312" w:cs="Times New Roman"/>
          <w:sz w:val="32"/>
          <w:szCs w:val="32"/>
        </w:rPr>
      </w:pPr>
      <w:r>
        <w:rPr>
          <w:rFonts w:hint="eastAsia" w:ascii="楷体_GB2312" w:hAnsi="Times New Roman" w:eastAsia="楷体_GB2312" w:cs="Times New Roman"/>
          <w:color w:val="000000"/>
          <w:sz w:val="32"/>
          <w:szCs w:val="32"/>
        </w:rPr>
        <w:t>第一条</w:t>
      </w:r>
      <w:r>
        <w:rPr>
          <w:rStyle w:val="6"/>
          <w:rFonts w:hint="eastAsia" w:ascii="方正仿宋简体" w:hAnsi="方正仿宋简体" w:eastAsia="方正仿宋简体" w:cs="方正仿宋简体"/>
          <w:color w:val="auto"/>
          <w:sz w:val="32"/>
          <w:szCs w:val="32"/>
        </w:rPr>
        <w:t xml:space="preserve">  </w:t>
      </w:r>
      <w:r>
        <w:rPr>
          <w:rFonts w:hint="eastAsia" w:ascii="仿宋_GB2312" w:hAnsi="Times New Roman" w:eastAsia="仿宋_GB2312" w:cs="Times New Roman"/>
          <w:sz w:val="32"/>
          <w:szCs w:val="32"/>
        </w:rPr>
        <w:t>为规范宁波鄞州银行公益基金会（下称：基金会或本基金会）的采购管理，防范因采购而导致的资产损失、舆论及运营风险。根据《中华人民共和国慈善法</w:t>
      </w:r>
      <w:r>
        <w:rPr>
          <w:rFonts w:hint="eastAsia" w:ascii="仿宋_GB2312" w:eastAsia="仿宋_GB2312" w:cs="Times New Roman"/>
          <w:sz w:val="32"/>
          <w:szCs w:val="32"/>
          <w:lang w:eastAsia="zh-CN"/>
        </w:rPr>
        <w:t>》《</w:t>
      </w:r>
      <w:r>
        <w:rPr>
          <w:rFonts w:hint="eastAsia" w:ascii="仿宋_GB2312" w:hAnsi="Times New Roman" w:eastAsia="仿宋_GB2312" w:cs="Times New Roman"/>
          <w:sz w:val="32"/>
          <w:szCs w:val="32"/>
        </w:rPr>
        <w:t>宁波鄞州银行公益基金会章程》（下称：《章程》）等相关法律法规、规章制度，特制定本</w:t>
      </w:r>
      <w:r>
        <w:rPr>
          <w:rFonts w:hint="eastAsia" w:ascii="仿宋_GB2312" w:hAnsi="Times New Roman" w:eastAsia="仿宋_GB2312" w:cs="Times New Roman"/>
          <w:sz w:val="32"/>
          <w:szCs w:val="32"/>
          <w:lang w:val="en-US" w:eastAsia="zh-CN"/>
        </w:rPr>
        <w:t>办法</w:t>
      </w:r>
      <w:r>
        <w:rPr>
          <w:rFonts w:hint="eastAsia" w:ascii="仿宋_GB2312" w:hAnsi="Times New Roman" w:eastAsia="仿宋_GB2312" w:cs="Times New Roman"/>
          <w:sz w:val="32"/>
          <w:szCs w:val="32"/>
        </w:rPr>
        <w:t>。</w:t>
      </w:r>
    </w:p>
    <w:p w14:paraId="4670675B">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Times New Roman" w:eastAsia="仿宋_GB2312" w:cs="Times New Roman"/>
          <w:sz w:val="32"/>
          <w:szCs w:val="32"/>
        </w:rPr>
      </w:pPr>
      <w:r>
        <w:rPr>
          <w:rFonts w:hint="eastAsia" w:ascii="楷体_GB2312" w:hAnsi="Times New Roman" w:eastAsia="楷体_GB2312" w:cs="Times New Roman"/>
          <w:color w:val="000000"/>
          <w:sz w:val="32"/>
          <w:szCs w:val="32"/>
        </w:rPr>
        <w:t>第二条</w:t>
      </w:r>
      <w:r>
        <w:rPr>
          <w:rStyle w:val="6"/>
          <w:rFonts w:hint="eastAsia" w:ascii="方正仿宋简体" w:hAnsi="方正仿宋简体" w:eastAsia="方正仿宋简体" w:cs="方正仿宋简体"/>
          <w:color w:val="auto"/>
          <w:sz w:val="32"/>
          <w:szCs w:val="32"/>
        </w:rPr>
        <w:t xml:space="preserve">  </w:t>
      </w:r>
      <w:r>
        <w:rPr>
          <w:rFonts w:hint="eastAsia" w:ascii="仿宋_GB2312" w:hAnsi="Times New Roman" w:eastAsia="仿宋_GB2312" w:cs="Times New Roman"/>
          <w:sz w:val="32"/>
          <w:szCs w:val="32"/>
        </w:rPr>
        <w:t>本基金会的采购主要为物资（服务）采购和业务外包采购</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其中物资（服务）采购包括公益项目及日常行政事务方面的采购。</w:t>
      </w:r>
    </w:p>
    <w:p w14:paraId="3A93AD31">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Times New Roman" w:eastAsia="仿宋_GB2312" w:cs="Times New Roman"/>
          <w:sz w:val="32"/>
          <w:szCs w:val="32"/>
        </w:rPr>
      </w:pPr>
      <w:r>
        <w:rPr>
          <w:rFonts w:hint="eastAsia" w:ascii="楷体_GB2312" w:hAnsi="Times New Roman" w:eastAsia="楷体_GB2312" w:cs="Times New Roman"/>
          <w:color w:val="000000"/>
          <w:sz w:val="32"/>
          <w:szCs w:val="32"/>
        </w:rPr>
        <w:t>第三条</w:t>
      </w:r>
      <w:r>
        <w:rPr>
          <w:rStyle w:val="6"/>
          <w:rFonts w:hint="eastAsia" w:ascii="方正仿宋简体" w:hAnsi="方正仿宋简体" w:eastAsia="方正仿宋简体" w:cs="方正仿宋简体"/>
          <w:color w:val="auto"/>
          <w:sz w:val="32"/>
          <w:szCs w:val="32"/>
        </w:rPr>
        <w:t xml:space="preserve">  </w:t>
      </w:r>
      <w:r>
        <w:rPr>
          <w:rFonts w:hint="eastAsia" w:ascii="仿宋_GB2312" w:hAnsi="Times New Roman" w:eastAsia="仿宋_GB2312" w:cs="Times New Roman"/>
          <w:sz w:val="32"/>
          <w:szCs w:val="32"/>
        </w:rPr>
        <w:t>本基金会的采购管理采取以下原则：</w:t>
      </w:r>
    </w:p>
    <w:p w14:paraId="40426263">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（一）公开、公平、诚实信用原则;</w:t>
      </w:r>
    </w:p>
    <w:p w14:paraId="619DC903">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（二）关键岗位相互制衡原则。</w:t>
      </w:r>
    </w:p>
    <w:p w14:paraId="420B5030">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Times New Roman" w:eastAsia="仿宋_GB2312" w:cs="Times New Roman"/>
          <w:sz w:val="32"/>
          <w:szCs w:val="32"/>
        </w:rPr>
      </w:pPr>
    </w:p>
    <w:p w14:paraId="2F1C2926">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黑体" w:hAnsi="黑体" w:eastAsia="黑体" w:cs="Times New Roman"/>
          <w:color w:val="000000"/>
          <w:sz w:val="32"/>
          <w:szCs w:val="32"/>
        </w:rPr>
      </w:pPr>
      <w:r>
        <w:rPr>
          <w:rFonts w:hint="eastAsia" w:ascii="黑体" w:hAnsi="黑体" w:eastAsia="黑体" w:cs="Times New Roman"/>
          <w:color w:val="000000"/>
          <w:sz w:val="32"/>
          <w:szCs w:val="32"/>
        </w:rPr>
        <w:t>第二章 采购管理适用范围</w:t>
      </w:r>
    </w:p>
    <w:p w14:paraId="38CD51F9">
      <w:pPr>
        <w:keepNext w:val="0"/>
        <w:keepLines w:val="0"/>
        <w:pageBreakBefore w:val="0"/>
        <w:widowControl w:val="0"/>
        <w:kinsoku/>
        <w:wordWrap/>
        <w:overflowPunct/>
        <w:topLinePunct w:val="0"/>
        <w:autoSpaceDE/>
        <w:autoSpaceDN/>
        <w:bidi w:val="0"/>
        <w:adjustRightInd/>
        <w:snapToGrid/>
        <w:spacing w:line="560" w:lineRule="exact"/>
        <w:ind w:firstLine="540" w:firstLineChars="0"/>
        <w:textAlignment w:val="auto"/>
        <w:rPr>
          <w:rFonts w:hint="eastAsia" w:ascii="仿宋_GB2312" w:hAnsi="Times New Roman" w:eastAsia="仿宋_GB2312" w:cs="Times New Roman"/>
          <w:sz w:val="32"/>
          <w:szCs w:val="32"/>
        </w:rPr>
      </w:pPr>
      <w:r>
        <w:rPr>
          <w:rFonts w:hint="eastAsia" w:ascii="楷体_GB2312" w:hAnsi="Times New Roman" w:eastAsia="楷体_GB2312" w:cs="Times New Roman"/>
          <w:color w:val="000000"/>
          <w:sz w:val="32"/>
          <w:szCs w:val="32"/>
        </w:rPr>
        <w:t>第四条</w:t>
      </w:r>
      <w:r>
        <w:rPr>
          <w:rStyle w:val="6"/>
          <w:rFonts w:hint="eastAsia" w:ascii="方正仿宋简体" w:hAnsi="方正仿宋简体" w:eastAsia="方正仿宋简体" w:cs="方正仿宋简体"/>
          <w:color w:val="auto"/>
          <w:sz w:val="32"/>
          <w:szCs w:val="32"/>
        </w:rPr>
        <w:t xml:space="preserve"> </w:t>
      </w:r>
      <w:r>
        <w:rPr>
          <w:rFonts w:hint="eastAsia" w:ascii="方正仿宋简体" w:hAnsi="方正仿宋简体" w:eastAsia="方正仿宋简体" w:cs="方正仿宋简体"/>
          <w:color w:val="auto"/>
          <w:sz w:val="32"/>
          <w:szCs w:val="32"/>
        </w:rPr>
        <w:t xml:space="preserve"> </w:t>
      </w:r>
      <w:r>
        <w:rPr>
          <w:rFonts w:hint="eastAsia" w:ascii="仿宋_GB2312" w:hAnsi="Times New Roman" w:eastAsia="仿宋_GB2312" w:cs="Times New Roman"/>
          <w:sz w:val="32"/>
          <w:szCs w:val="32"/>
        </w:rPr>
        <w:t>根据采购标的物的价值和属性，适用以下采购方式：</w:t>
      </w:r>
    </w:p>
    <w:p w14:paraId="46F60416">
      <w:pPr>
        <w:keepNext w:val="0"/>
        <w:keepLines w:val="0"/>
        <w:pageBreakBefore w:val="0"/>
        <w:widowControl w:val="0"/>
        <w:kinsoku/>
        <w:wordWrap/>
        <w:overflowPunct/>
        <w:topLinePunct w:val="0"/>
        <w:autoSpaceDE/>
        <w:autoSpaceDN/>
        <w:bidi w:val="0"/>
        <w:adjustRightInd/>
        <w:snapToGrid/>
        <w:spacing w:line="560" w:lineRule="exact"/>
        <w:ind w:firstLine="540" w:firstLineChars="0"/>
        <w:textAlignment w:val="auto"/>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（一）招标采购：对于《章程》规定的重大项目采购，宜采取招标方式（含公开招标或邀请招标方式）进行。由理事长办公会议根据实际情况，拟定具体工作方案，由职能部门负责采购或招投标方案的执行。</w:t>
      </w:r>
    </w:p>
    <w:p w14:paraId="2614195F">
      <w:pPr>
        <w:keepNext w:val="0"/>
        <w:keepLines w:val="0"/>
        <w:pageBreakBefore w:val="0"/>
        <w:widowControl w:val="0"/>
        <w:kinsoku/>
        <w:wordWrap/>
        <w:overflowPunct/>
        <w:topLinePunct w:val="0"/>
        <w:autoSpaceDE/>
        <w:autoSpaceDN/>
        <w:bidi w:val="0"/>
        <w:adjustRightInd/>
        <w:snapToGrid/>
        <w:spacing w:line="560" w:lineRule="exact"/>
        <w:ind w:firstLine="540" w:firstLineChars="0"/>
        <w:textAlignment w:val="auto"/>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lang w:val="en-US" w:eastAsia="zh-CN"/>
        </w:rPr>
        <w:t>一</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lang w:val="en-US" w:eastAsia="zh-CN"/>
        </w:rPr>
        <w:t>直接采购:价值低于2000元的低值易耗品，采取临时性采购，价格不偏离市场正常价格范围情况下，无需遵照询比价流程。</w:t>
      </w:r>
    </w:p>
    <w:p w14:paraId="1D8AA4C3">
      <w:pPr>
        <w:keepNext w:val="0"/>
        <w:keepLines w:val="0"/>
        <w:pageBreakBefore w:val="0"/>
        <w:widowControl w:val="0"/>
        <w:kinsoku/>
        <w:wordWrap/>
        <w:overflowPunct/>
        <w:topLinePunct w:val="0"/>
        <w:autoSpaceDE/>
        <w:autoSpaceDN/>
        <w:bidi w:val="0"/>
        <w:adjustRightInd/>
        <w:snapToGrid/>
        <w:spacing w:line="560" w:lineRule="exact"/>
        <w:ind w:firstLine="540" w:firstLineChars="0"/>
        <w:textAlignment w:val="auto"/>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w:t>
      </w:r>
      <w:r>
        <w:rPr>
          <w:rFonts w:hint="eastAsia" w:ascii="仿宋_GB2312" w:hAnsi="Times New Roman" w:eastAsia="仿宋_GB2312" w:cs="Times New Roman"/>
          <w:sz w:val="32"/>
          <w:szCs w:val="32"/>
          <w:lang w:val="en-US" w:eastAsia="zh-CN"/>
        </w:rPr>
        <w:t>二</w:t>
      </w:r>
      <w:r>
        <w:rPr>
          <w:rFonts w:hint="eastAsia" w:ascii="仿宋_GB2312" w:hAnsi="Times New Roman" w:eastAsia="仿宋_GB2312" w:cs="Times New Roman"/>
          <w:sz w:val="32"/>
          <w:szCs w:val="32"/>
        </w:rPr>
        <w:t>）询比价采购：单项价值在</w:t>
      </w:r>
      <w:r>
        <w:rPr>
          <w:rFonts w:hint="eastAsia" w:ascii="仿宋_GB2312" w:hAnsi="Times New Roman" w:eastAsia="仿宋_GB2312" w:cs="Times New Roman"/>
          <w:sz w:val="32"/>
          <w:szCs w:val="32"/>
          <w:lang w:val="en-US" w:eastAsia="zh-CN"/>
        </w:rPr>
        <w:t>20000-2</w:t>
      </w:r>
      <w:r>
        <w:rPr>
          <w:rFonts w:hint="eastAsia" w:ascii="仿宋_GB2312" w:hAnsi="Times New Roman" w:eastAsia="仿宋_GB2312" w:cs="Times New Roman"/>
          <w:sz w:val="32"/>
          <w:szCs w:val="32"/>
        </w:rPr>
        <w:t>000元的采购，采取</w:t>
      </w:r>
      <w:r>
        <w:rPr>
          <w:rFonts w:hint="eastAsia" w:ascii="仿宋_GB2312" w:hAnsi="Times New Roman" w:eastAsia="仿宋_GB2312" w:cs="Times New Roman"/>
          <w:sz w:val="32"/>
          <w:szCs w:val="32"/>
          <w:lang w:val="en-US" w:eastAsia="zh-CN"/>
        </w:rPr>
        <w:t>三方</w:t>
      </w:r>
      <w:r>
        <w:rPr>
          <w:rFonts w:hint="eastAsia" w:ascii="仿宋_GB2312" w:hAnsi="Times New Roman" w:eastAsia="仿宋_GB2312" w:cs="Times New Roman"/>
          <w:sz w:val="32"/>
          <w:szCs w:val="32"/>
        </w:rPr>
        <w:t>询比</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lang w:val="en-US" w:eastAsia="zh-CN"/>
        </w:rPr>
        <w:t>确定供应商进行</w:t>
      </w:r>
      <w:r>
        <w:rPr>
          <w:rFonts w:hint="eastAsia" w:ascii="仿宋_GB2312" w:hAnsi="Times New Roman" w:eastAsia="仿宋_GB2312" w:cs="Times New Roman"/>
          <w:sz w:val="32"/>
          <w:szCs w:val="32"/>
        </w:rPr>
        <w:t>采购。</w:t>
      </w:r>
    </w:p>
    <w:p w14:paraId="77EA8727">
      <w:pPr>
        <w:keepNext w:val="0"/>
        <w:keepLines w:val="0"/>
        <w:pageBreakBefore w:val="0"/>
        <w:widowControl w:val="0"/>
        <w:kinsoku/>
        <w:wordWrap/>
        <w:overflowPunct/>
        <w:topLinePunct w:val="0"/>
        <w:autoSpaceDE/>
        <w:autoSpaceDN/>
        <w:bidi w:val="0"/>
        <w:adjustRightInd/>
        <w:snapToGrid/>
        <w:spacing w:line="560" w:lineRule="exact"/>
        <w:ind w:firstLine="540" w:firstLineChars="0"/>
        <w:textAlignment w:val="auto"/>
        <w:rPr>
          <w:rFonts w:hint="eastAsia" w:ascii="方正仿宋简体" w:hAnsi="方正仿宋简体" w:eastAsia="方正仿宋简体" w:cs="方正仿宋简体"/>
          <w:color w:val="auto"/>
          <w:sz w:val="32"/>
          <w:szCs w:val="32"/>
        </w:rPr>
      </w:pPr>
      <w:r>
        <w:rPr>
          <w:rFonts w:hint="eastAsia" w:ascii="仿宋_GB2312" w:hAnsi="Times New Roman" w:eastAsia="仿宋_GB2312" w:cs="Times New Roman"/>
          <w:sz w:val="32"/>
          <w:szCs w:val="32"/>
        </w:rPr>
        <w:t>（</w:t>
      </w:r>
      <w:r>
        <w:rPr>
          <w:rFonts w:hint="eastAsia" w:ascii="仿宋_GB2312" w:hAnsi="Times New Roman" w:eastAsia="仿宋_GB2312" w:cs="Times New Roman"/>
          <w:sz w:val="32"/>
          <w:szCs w:val="32"/>
          <w:lang w:val="en-US" w:eastAsia="zh-CN"/>
        </w:rPr>
        <w:t>三</w:t>
      </w:r>
      <w:r>
        <w:rPr>
          <w:rFonts w:hint="eastAsia" w:ascii="仿宋_GB2312" w:hAnsi="Times New Roman" w:eastAsia="仿宋_GB2312" w:cs="Times New Roman"/>
          <w:sz w:val="32"/>
          <w:szCs w:val="32"/>
        </w:rPr>
        <w:t>）目录供应商采购：</w:t>
      </w:r>
      <w:r>
        <w:rPr>
          <w:rFonts w:hint="eastAsia" w:ascii="仿宋_GB2312" w:hAnsi="Times New Roman" w:eastAsia="仿宋_GB2312" w:cs="Times New Roman"/>
          <w:sz w:val="32"/>
          <w:szCs w:val="32"/>
          <w:lang w:val="en-US" w:eastAsia="zh-CN"/>
        </w:rPr>
        <w:t>2</w:t>
      </w:r>
      <w:r>
        <w:rPr>
          <w:rFonts w:hint="eastAsia" w:ascii="仿宋_GB2312" w:hAnsi="Times New Roman" w:eastAsia="仿宋_GB2312" w:cs="Times New Roman"/>
          <w:sz w:val="32"/>
          <w:szCs w:val="32"/>
        </w:rPr>
        <w:t>0000元以上的物资或</w:t>
      </w:r>
      <w:r>
        <w:rPr>
          <w:rFonts w:hint="eastAsia" w:ascii="仿宋_GB2312" w:eastAsia="仿宋_GB2312" w:cs="Times New Roman"/>
          <w:sz w:val="32"/>
          <w:szCs w:val="32"/>
          <w:lang w:eastAsia="zh-CN"/>
        </w:rPr>
        <w:t>服务</w:t>
      </w:r>
      <w:r>
        <w:rPr>
          <w:rFonts w:hint="eastAsia" w:ascii="仿宋_GB2312" w:hAnsi="Times New Roman" w:eastAsia="仿宋_GB2312" w:cs="Times New Roman"/>
          <w:sz w:val="32"/>
          <w:szCs w:val="32"/>
        </w:rPr>
        <w:t>采购，全部适用目录供应商采购政策和审批流程。</w:t>
      </w:r>
    </w:p>
    <w:p w14:paraId="4B1971FF">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Times New Roman" w:eastAsia="仿宋_GB2312" w:cs="Times New Roman"/>
          <w:sz w:val="32"/>
          <w:szCs w:val="32"/>
        </w:rPr>
      </w:pPr>
      <w:r>
        <w:rPr>
          <w:rFonts w:hint="eastAsia" w:ascii="楷体_GB2312" w:hAnsi="Times New Roman" w:eastAsia="楷体_GB2312" w:cs="Times New Roman"/>
          <w:color w:val="000000"/>
          <w:sz w:val="32"/>
          <w:szCs w:val="32"/>
        </w:rPr>
        <w:t>第五条</w:t>
      </w:r>
      <w:r>
        <w:rPr>
          <w:rStyle w:val="6"/>
          <w:rFonts w:hint="eastAsia" w:ascii="方正仿宋简体" w:hAnsi="方正仿宋简体" w:eastAsia="方正仿宋简体" w:cs="方正仿宋简体"/>
          <w:color w:val="auto"/>
          <w:sz w:val="32"/>
          <w:szCs w:val="32"/>
        </w:rPr>
        <w:t xml:space="preserve"> </w:t>
      </w:r>
      <w:r>
        <w:rPr>
          <w:rFonts w:hint="eastAsia" w:ascii="仿宋_GB2312" w:hAnsi="Times New Roman" w:eastAsia="仿宋_GB2312" w:cs="Times New Roman"/>
          <w:sz w:val="32"/>
          <w:szCs w:val="32"/>
        </w:rPr>
        <w:t>为节约管理成本，基金会可将部分业务职能实施外包，业务外包内容由理事长办公会议决策，外包提供商须进行能力评估并录入外包供应商数据库。</w:t>
      </w:r>
    </w:p>
    <w:p w14:paraId="7B3FD319">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Times New Roman" w:eastAsia="仿宋_GB2312" w:cs="Times New Roman"/>
          <w:sz w:val="32"/>
          <w:szCs w:val="32"/>
        </w:rPr>
      </w:pPr>
    </w:p>
    <w:p w14:paraId="6335BF94">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黑体" w:hAnsi="黑体" w:eastAsia="黑体" w:cs="Times New Roman"/>
          <w:color w:val="000000"/>
          <w:sz w:val="32"/>
          <w:szCs w:val="32"/>
        </w:rPr>
      </w:pPr>
      <w:r>
        <w:rPr>
          <w:rFonts w:hint="eastAsia" w:ascii="黑体" w:hAnsi="黑体" w:eastAsia="黑体" w:cs="Times New Roman"/>
          <w:color w:val="000000"/>
          <w:sz w:val="32"/>
          <w:szCs w:val="32"/>
        </w:rPr>
        <w:t>第三章 供应商管理</w:t>
      </w:r>
    </w:p>
    <w:p w14:paraId="7AA0D040">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Times New Roman" w:eastAsia="仿宋_GB2312" w:cs="Times New Roman"/>
          <w:sz w:val="32"/>
          <w:szCs w:val="32"/>
        </w:rPr>
      </w:pPr>
      <w:r>
        <w:rPr>
          <w:rFonts w:hint="eastAsia" w:ascii="楷体_GB2312" w:hAnsi="Times New Roman" w:eastAsia="楷体_GB2312" w:cs="Times New Roman"/>
          <w:color w:val="000000"/>
          <w:sz w:val="32"/>
          <w:szCs w:val="32"/>
        </w:rPr>
        <w:t>第六条</w:t>
      </w:r>
      <w:r>
        <w:rPr>
          <w:rStyle w:val="6"/>
          <w:rFonts w:hint="eastAsia" w:ascii="方正仿宋简体" w:hAnsi="方正仿宋简体" w:eastAsia="方正仿宋简体" w:cs="方正仿宋简体"/>
          <w:color w:val="auto"/>
          <w:sz w:val="32"/>
          <w:szCs w:val="32"/>
        </w:rPr>
        <w:t xml:space="preserve"> </w:t>
      </w:r>
      <w:r>
        <w:rPr>
          <w:rFonts w:hint="eastAsia" w:ascii="仿宋_GB2312" w:hAnsi="Times New Roman" w:eastAsia="仿宋_GB2312" w:cs="Times New Roman"/>
          <w:sz w:val="32"/>
          <w:szCs w:val="32"/>
        </w:rPr>
        <w:t xml:space="preserve"> 本管理</w:t>
      </w:r>
      <w:r>
        <w:rPr>
          <w:rFonts w:hint="eastAsia" w:ascii="仿宋_GB2312" w:hAnsi="Times New Roman" w:eastAsia="仿宋_GB2312" w:cs="Times New Roman"/>
          <w:sz w:val="32"/>
          <w:szCs w:val="32"/>
          <w:lang w:val="en-US" w:eastAsia="zh-CN"/>
        </w:rPr>
        <w:t>办法</w:t>
      </w:r>
      <w:r>
        <w:rPr>
          <w:rFonts w:hint="eastAsia" w:ascii="仿宋_GB2312" w:hAnsi="Times New Roman" w:eastAsia="仿宋_GB2312" w:cs="Times New Roman"/>
          <w:sz w:val="32"/>
          <w:szCs w:val="32"/>
        </w:rPr>
        <w:t>所指供应商包括物资与服务供应商和外包服务供应商。</w:t>
      </w:r>
    </w:p>
    <w:p w14:paraId="4DDBBD77">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Times New Roman" w:eastAsia="仿宋_GB2312" w:cs="Times New Roman"/>
          <w:sz w:val="32"/>
          <w:szCs w:val="32"/>
        </w:rPr>
      </w:pPr>
      <w:r>
        <w:rPr>
          <w:rFonts w:hint="eastAsia" w:ascii="楷体_GB2312" w:hAnsi="Times New Roman" w:eastAsia="楷体_GB2312" w:cs="Times New Roman"/>
          <w:color w:val="000000"/>
          <w:sz w:val="32"/>
          <w:szCs w:val="32"/>
        </w:rPr>
        <w:t>第七条</w:t>
      </w:r>
      <w:r>
        <w:rPr>
          <w:rFonts w:hint="eastAsia" w:ascii="方正仿宋简体" w:hAnsi="方正仿宋简体" w:eastAsia="方正仿宋简体" w:cs="方正仿宋简体"/>
          <w:color w:val="auto"/>
          <w:sz w:val="32"/>
          <w:szCs w:val="32"/>
        </w:rPr>
        <w:t xml:space="preserve">  </w:t>
      </w:r>
      <w:r>
        <w:rPr>
          <w:rFonts w:hint="eastAsia" w:ascii="仿宋_GB2312" w:hAnsi="Times New Roman" w:eastAsia="仿宋_GB2312" w:cs="Times New Roman"/>
          <w:sz w:val="32"/>
          <w:szCs w:val="32"/>
        </w:rPr>
        <w:t>除按照第四条规定进行招投标的采购项目外，对适用</w:t>
      </w:r>
      <w:r>
        <w:rPr>
          <w:rFonts w:hint="eastAsia" w:ascii="仿宋_GB2312" w:hAnsi="Times New Roman" w:eastAsia="仿宋_GB2312" w:cs="Times New Roman"/>
          <w:sz w:val="32"/>
          <w:szCs w:val="32"/>
          <w:lang w:eastAsia="zh-CN"/>
        </w:rPr>
        <w:t>目录</w:t>
      </w:r>
      <w:r>
        <w:rPr>
          <w:rFonts w:hint="eastAsia" w:ascii="仿宋_GB2312" w:hAnsi="Times New Roman" w:eastAsia="仿宋_GB2312" w:cs="Times New Roman"/>
          <w:sz w:val="32"/>
          <w:szCs w:val="32"/>
        </w:rPr>
        <w:t>供应商采购制度的采购，均须对供应商进行选择和审核，对审核合格的供应商进行分类，录入合格供应商数据库。</w:t>
      </w:r>
    </w:p>
    <w:p w14:paraId="255FBA3A">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Times New Roman" w:eastAsia="仿宋_GB2312" w:cs="Times New Roman"/>
          <w:sz w:val="32"/>
          <w:szCs w:val="32"/>
        </w:rPr>
      </w:pPr>
      <w:r>
        <w:rPr>
          <w:rFonts w:hint="eastAsia" w:ascii="楷体_GB2312" w:hAnsi="Times New Roman" w:eastAsia="楷体_GB2312" w:cs="Times New Roman"/>
          <w:color w:val="000000"/>
          <w:sz w:val="32"/>
          <w:szCs w:val="32"/>
        </w:rPr>
        <w:t>第八条</w:t>
      </w:r>
      <w:r>
        <w:rPr>
          <w:rStyle w:val="6"/>
          <w:rFonts w:hint="eastAsia" w:ascii="方正仿宋简体" w:hAnsi="方正仿宋简体" w:eastAsia="方正仿宋简体" w:cs="方正仿宋简体"/>
          <w:color w:val="auto"/>
          <w:sz w:val="32"/>
          <w:szCs w:val="32"/>
        </w:rPr>
        <w:t xml:space="preserve">  </w:t>
      </w:r>
      <w:r>
        <w:rPr>
          <w:rFonts w:hint="eastAsia" w:ascii="仿宋_GB2312" w:hAnsi="Times New Roman" w:eastAsia="仿宋_GB2312" w:cs="Times New Roman"/>
          <w:sz w:val="32"/>
          <w:szCs w:val="32"/>
        </w:rPr>
        <w:t>供应商的评估标准和评分机制。</w:t>
      </w:r>
    </w:p>
    <w:p w14:paraId="1721203E">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（一）评估标准应包括且不限于：</w:t>
      </w:r>
    </w:p>
    <w:p w14:paraId="5544CD9A">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1.证照资质合规齐全；</w:t>
      </w:r>
    </w:p>
    <w:p w14:paraId="2E651910">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2.监管登记部门无处罚记录；</w:t>
      </w:r>
    </w:p>
    <w:p w14:paraId="4039F579">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3.机构、企业或个人无不良舆情；</w:t>
      </w:r>
    </w:p>
    <w:p w14:paraId="0E4F05ED">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4.经营或注册业务范围合规；</w:t>
      </w:r>
    </w:p>
    <w:p w14:paraId="17D12DFA">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5.有质量认证或可证明其服务提供能力或质量的证据；</w:t>
      </w:r>
    </w:p>
    <w:p w14:paraId="24B8A91C">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6.报价、合作态度和售前售后服务有竞争优势等。</w:t>
      </w:r>
    </w:p>
    <w:p w14:paraId="4BCCF6C6">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（二）供应商评分机制: 根据供应商的资质、能力和规模等，建立供应商评分机制，详见《供应商</w:t>
      </w:r>
      <w:r>
        <w:rPr>
          <w:rFonts w:hint="eastAsia" w:ascii="仿宋_GB2312" w:hAnsi="Times New Roman" w:eastAsia="仿宋_GB2312" w:cs="Times New Roman"/>
          <w:sz w:val="32"/>
          <w:szCs w:val="32"/>
          <w:lang w:val="en-US" w:eastAsia="zh-CN"/>
        </w:rPr>
        <w:t>评估</w:t>
      </w:r>
      <w:r>
        <w:rPr>
          <w:rFonts w:hint="eastAsia" w:ascii="仿宋_GB2312" w:hAnsi="Times New Roman" w:eastAsia="仿宋_GB2312" w:cs="Times New Roman"/>
          <w:sz w:val="32"/>
          <w:szCs w:val="32"/>
        </w:rPr>
        <w:t>表》</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lang w:val="en-US" w:eastAsia="zh-CN"/>
        </w:rPr>
        <w:t>附件1</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w:t>
      </w:r>
    </w:p>
    <w:p w14:paraId="3A4E59B9">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Times New Roman" w:eastAsia="仿宋_GB2312" w:cs="Times New Roman"/>
          <w:sz w:val="32"/>
          <w:szCs w:val="32"/>
        </w:rPr>
      </w:pPr>
      <w:r>
        <w:rPr>
          <w:rFonts w:hint="eastAsia" w:ascii="楷体_GB2312" w:hAnsi="Times New Roman" w:eastAsia="楷体_GB2312" w:cs="Times New Roman"/>
          <w:color w:val="000000"/>
          <w:sz w:val="32"/>
          <w:szCs w:val="32"/>
        </w:rPr>
        <w:t>第九条</w:t>
      </w:r>
      <w:r>
        <w:rPr>
          <w:rStyle w:val="6"/>
          <w:rFonts w:hint="eastAsia" w:ascii="方正仿宋简体" w:hAnsi="方正仿宋简体" w:eastAsia="方正仿宋简体" w:cs="方正仿宋简体"/>
          <w:color w:val="auto"/>
          <w:sz w:val="32"/>
          <w:szCs w:val="32"/>
        </w:rPr>
        <w:t xml:space="preserve">  </w:t>
      </w:r>
      <w:r>
        <w:rPr>
          <w:rFonts w:hint="eastAsia" w:ascii="仿宋_GB2312" w:hAnsi="Times New Roman" w:eastAsia="仿宋_GB2312" w:cs="Times New Roman"/>
          <w:sz w:val="32"/>
          <w:szCs w:val="32"/>
        </w:rPr>
        <w:t>凡拟与基金会产生业务关系的供应商，均须事先履行供应商准入程序。</w:t>
      </w:r>
    </w:p>
    <w:p w14:paraId="289ABAF4">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1）供应商</w:t>
      </w:r>
      <w:r>
        <w:rPr>
          <w:rFonts w:hint="eastAsia" w:ascii="仿宋_GB2312" w:hAnsi="Times New Roman" w:eastAsia="仿宋_GB2312" w:cs="Times New Roman"/>
          <w:sz w:val="32"/>
          <w:szCs w:val="32"/>
          <w:lang w:val="en-US" w:eastAsia="zh-CN"/>
        </w:rPr>
        <w:t>需</w:t>
      </w:r>
      <w:r>
        <w:rPr>
          <w:rFonts w:hint="eastAsia" w:ascii="仿宋_GB2312" w:hAnsi="Times New Roman" w:eastAsia="仿宋_GB2312" w:cs="Times New Roman"/>
          <w:sz w:val="32"/>
          <w:szCs w:val="32"/>
        </w:rPr>
        <w:t>提交营业执照、法定代表人身份证</w:t>
      </w:r>
      <w:r>
        <w:rPr>
          <w:rFonts w:hint="eastAsia" w:ascii="仿宋_GB2312" w:hAnsi="Times New Roman" w:eastAsia="仿宋_GB2312" w:cs="Times New Roman"/>
          <w:sz w:val="32"/>
          <w:szCs w:val="32"/>
          <w:lang w:eastAsia="zh-CN"/>
        </w:rPr>
        <w:t>、伦理道德声明</w:t>
      </w:r>
      <w:r>
        <w:rPr>
          <w:rFonts w:hint="eastAsia" w:ascii="仿宋_GB2312" w:hAnsi="Times New Roman" w:eastAsia="仿宋_GB2312" w:cs="Times New Roman"/>
          <w:sz w:val="32"/>
          <w:szCs w:val="32"/>
          <w:lang w:val="en-US" w:eastAsia="zh-CN"/>
        </w:rPr>
        <w:t>等</w:t>
      </w:r>
      <w:r>
        <w:rPr>
          <w:rFonts w:hint="eastAsia" w:ascii="仿宋_GB2312" w:hAnsi="Times New Roman" w:eastAsia="仿宋_GB2312" w:cs="Times New Roman"/>
          <w:sz w:val="32"/>
          <w:szCs w:val="32"/>
        </w:rPr>
        <w:t>资料；</w:t>
      </w:r>
    </w:p>
    <w:p w14:paraId="78077967">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2）采购需求部门对准入材料进行初审和尽职调查沟通，并根据实际需要安排对申请准入的供应商进行实地考察，根据调研结果，形成《供应商</w:t>
      </w:r>
      <w:r>
        <w:rPr>
          <w:rFonts w:hint="eastAsia" w:ascii="仿宋_GB2312" w:hAnsi="Times New Roman" w:eastAsia="仿宋_GB2312" w:cs="Times New Roman"/>
          <w:sz w:val="32"/>
          <w:szCs w:val="32"/>
          <w:lang w:val="en-US" w:eastAsia="zh-CN"/>
        </w:rPr>
        <w:t>评估</w:t>
      </w:r>
      <w:r>
        <w:rPr>
          <w:rFonts w:hint="eastAsia" w:ascii="仿宋_GB2312" w:hAnsi="Times New Roman" w:eastAsia="仿宋_GB2312" w:cs="Times New Roman"/>
          <w:sz w:val="32"/>
          <w:szCs w:val="32"/>
        </w:rPr>
        <w:t>表》进行评估；</w:t>
      </w:r>
    </w:p>
    <w:p w14:paraId="11764E66">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3）采购需求部门对合格供应商进行分类入库，并负责对</w:t>
      </w:r>
      <w:r>
        <w:rPr>
          <w:rFonts w:hint="eastAsia" w:ascii="仿宋_GB2312" w:hAnsi="Times New Roman" w:eastAsia="仿宋_GB2312" w:cs="Times New Roman"/>
          <w:sz w:val="32"/>
          <w:szCs w:val="32"/>
          <w:lang w:val="en-US" w:eastAsia="zh-CN"/>
        </w:rPr>
        <w:t>目录</w:t>
      </w:r>
      <w:r>
        <w:rPr>
          <w:rFonts w:hint="eastAsia" w:ascii="仿宋_GB2312" w:hAnsi="Times New Roman" w:eastAsia="仿宋_GB2312" w:cs="Times New Roman"/>
          <w:sz w:val="32"/>
          <w:szCs w:val="32"/>
        </w:rPr>
        <w:t>供应商进行维护和更新；</w:t>
      </w:r>
    </w:p>
    <w:p w14:paraId="1D5A5C28">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方正仿宋简体" w:hAnsi="方正仿宋简体" w:eastAsia="方正仿宋简体" w:cs="方正仿宋简体"/>
          <w:color w:val="auto"/>
          <w:sz w:val="32"/>
          <w:szCs w:val="32"/>
        </w:rPr>
      </w:pPr>
      <w:r>
        <w:rPr>
          <w:rFonts w:hint="eastAsia" w:ascii="仿宋_GB2312" w:hAnsi="Times New Roman" w:eastAsia="仿宋_GB2312" w:cs="Times New Roman"/>
          <w:sz w:val="32"/>
          <w:szCs w:val="32"/>
        </w:rPr>
        <w:t>4）采购管理部门对供应商资格进行年度复审。</w:t>
      </w:r>
    </w:p>
    <w:p w14:paraId="310004CB">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Times New Roman" w:eastAsia="仿宋_GB2312" w:cs="Times New Roman"/>
          <w:sz w:val="32"/>
          <w:szCs w:val="32"/>
        </w:rPr>
      </w:pPr>
      <w:r>
        <w:rPr>
          <w:rFonts w:hint="eastAsia" w:ascii="楷体_GB2312" w:hAnsi="Times New Roman" w:eastAsia="楷体_GB2312" w:cs="Times New Roman"/>
          <w:color w:val="000000"/>
          <w:sz w:val="32"/>
          <w:szCs w:val="32"/>
        </w:rPr>
        <w:t>第十条</w:t>
      </w:r>
      <w:r>
        <w:rPr>
          <w:rStyle w:val="6"/>
          <w:rFonts w:hint="eastAsia" w:ascii="方正仿宋简体" w:hAnsi="方正仿宋简体" w:eastAsia="方正仿宋简体" w:cs="方正仿宋简体"/>
          <w:color w:val="auto"/>
          <w:sz w:val="32"/>
          <w:szCs w:val="32"/>
        </w:rPr>
        <w:t xml:space="preserve">  </w:t>
      </w:r>
      <w:r>
        <w:rPr>
          <w:rFonts w:hint="eastAsia" w:ascii="仿宋_GB2312" w:hAnsi="Times New Roman" w:eastAsia="仿宋_GB2312" w:cs="Times New Roman"/>
          <w:sz w:val="32"/>
          <w:szCs w:val="32"/>
        </w:rPr>
        <w:t>为提升基金会采购管理效率，基金会对各部门入库供应商进行分类管理：</w:t>
      </w:r>
    </w:p>
    <w:p w14:paraId="03EE6A76">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1）战略供应商：指与基金会有着长期或频繁交易的正式供应商。此类供应商提供的产品或服务具有唯一性，对基金会的存在或发展极为重要、难以更换或更换的成本很高，需符合以下条件：</w:t>
      </w:r>
    </w:p>
    <w:p w14:paraId="5BF0B393">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a）签订合作框架协议，明确规定有关付款条款、付款方式和双方权利义务、采购价格等内容；</w:t>
      </w:r>
    </w:p>
    <w:p w14:paraId="2D8A13EA">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b）当每次采购申请提出后，如框架协议中有确定的采购价格时，则无需再进行询价、比价工作，无需另外签订单独的采购合同；</w:t>
      </w:r>
    </w:p>
    <w:p w14:paraId="1A245F45">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2）优先供应商：指与基金会有着长期良好合作关系，为基金会提供某一类产品或服务的供应商。此类供应商提供的产品或服务在其他供应商处也可获得，但其在价格、质量、交付、沟通和反应时间等综合绩效中具有优势。</w:t>
      </w:r>
    </w:p>
    <w:p w14:paraId="71607D6D">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a）与基金会签订年度采购价格备忘录和优先服务条款；</w:t>
      </w:r>
    </w:p>
    <w:p w14:paraId="3E1E8F40">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b）若每次采购服务已包含在价格备忘录中，则无需进行询价、比价工作；</w:t>
      </w:r>
    </w:p>
    <w:p w14:paraId="5FA21905">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3）普通供应商：指与基金会有过合作或交易，但未与基金会签订任何框架协议或价格备忘录的正式供应商。</w:t>
      </w:r>
      <w:r>
        <w:rPr>
          <w:rFonts w:hint="eastAsia" w:ascii="仿宋_GB2312" w:hAnsi="Times New Roman" w:eastAsia="仿宋_GB2312" w:cs="Times New Roman"/>
          <w:sz w:val="32"/>
          <w:szCs w:val="32"/>
          <w:lang w:val="en-US" w:eastAsia="zh-CN"/>
        </w:rPr>
        <w:t>只</w:t>
      </w:r>
      <w:r>
        <w:rPr>
          <w:rFonts w:hint="eastAsia" w:ascii="仿宋_GB2312" w:hAnsi="Times New Roman" w:eastAsia="仿宋_GB2312" w:cs="Times New Roman"/>
          <w:sz w:val="32"/>
          <w:szCs w:val="32"/>
        </w:rPr>
        <w:t>需要在每次</w:t>
      </w:r>
      <w:r>
        <w:rPr>
          <w:rFonts w:hint="eastAsia" w:ascii="仿宋_GB2312" w:hAnsi="Times New Roman" w:eastAsia="仿宋_GB2312" w:cs="Times New Roman"/>
          <w:sz w:val="32"/>
          <w:szCs w:val="32"/>
          <w:lang w:val="en-US" w:eastAsia="zh-CN"/>
        </w:rPr>
        <w:t>大额</w:t>
      </w:r>
      <w:r>
        <w:rPr>
          <w:rFonts w:hint="eastAsia" w:ascii="仿宋_GB2312" w:hAnsi="Times New Roman" w:eastAsia="仿宋_GB2312" w:cs="Times New Roman"/>
          <w:sz w:val="32"/>
          <w:szCs w:val="32"/>
        </w:rPr>
        <w:t>采购申请提出时进行询价、比价，然后根据基金会有关规定签订单独的采购合同。</w:t>
      </w:r>
    </w:p>
    <w:p w14:paraId="36EDFF47">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4）临时供应商：指现有数据库中，不存在采购需求的物料或服务的供应商，但因采购需求紧急，没有时间执行常规供应商准入程序，而采用的供应商；</w:t>
      </w:r>
    </w:p>
    <w:p w14:paraId="6B3BD3B6">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5）淘汰供应商：根据供应商定期评估结果，确定不再与其进行交易的供应商。</w:t>
      </w:r>
    </w:p>
    <w:p w14:paraId="74752815">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6）黑名单供应商：根据供应商定期评估结果，发现有欺诈、舞弊或诚信不佳的行为，确定需要不再与其进行交易的供应商。</w:t>
      </w:r>
    </w:p>
    <w:p w14:paraId="097BE738">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Times New Roman" w:eastAsia="仿宋_GB2312" w:cs="Times New Roman"/>
          <w:sz w:val="32"/>
          <w:szCs w:val="32"/>
        </w:rPr>
      </w:pPr>
      <w:r>
        <w:rPr>
          <w:rFonts w:hint="eastAsia" w:ascii="楷体_GB2312" w:hAnsi="Times New Roman" w:eastAsia="楷体_GB2312" w:cs="Times New Roman"/>
          <w:color w:val="000000"/>
          <w:sz w:val="32"/>
          <w:szCs w:val="32"/>
        </w:rPr>
        <w:t>第十一条</w:t>
      </w:r>
      <w:r>
        <w:rPr>
          <w:rStyle w:val="6"/>
          <w:rFonts w:hint="eastAsia" w:ascii="方正仿宋简体" w:hAnsi="方正仿宋简体" w:eastAsia="方正仿宋简体" w:cs="方正仿宋简体"/>
          <w:color w:val="auto"/>
          <w:sz w:val="32"/>
          <w:szCs w:val="32"/>
        </w:rPr>
        <w:t xml:space="preserve">  </w:t>
      </w:r>
      <w:r>
        <w:rPr>
          <w:rFonts w:hint="eastAsia" w:ascii="仿宋_GB2312" w:hAnsi="Times New Roman" w:eastAsia="仿宋_GB2312" w:cs="Times New Roman"/>
          <w:sz w:val="32"/>
          <w:szCs w:val="32"/>
        </w:rPr>
        <w:t>如供应商为基金会涉及基金会关联交易管理办法中规定的关联人，应根据《基金会关联交易管理办法》的规则和流程执行，进行相关披露并将披露文件附在采购合同后进行留档。</w:t>
      </w:r>
    </w:p>
    <w:p w14:paraId="04526F35">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Times New Roman" w:eastAsia="仿宋_GB2312" w:cs="Times New Roman"/>
          <w:sz w:val="32"/>
          <w:szCs w:val="32"/>
        </w:rPr>
      </w:pPr>
    </w:p>
    <w:p w14:paraId="1F13BC6E">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黑体" w:hAnsi="黑体" w:eastAsia="黑体" w:cs="Times New Roman"/>
          <w:color w:val="000000"/>
          <w:sz w:val="32"/>
          <w:szCs w:val="32"/>
        </w:rPr>
      </w:pPr>
      <w:r>
        <w:rPr>
          <w:rFonts w:hint="eastAsia" w:ascii="黑体" w:hAnsi="黑体" w:eastAsia="黑体" w:cs="Times New Roman"/>
          <w:color w:val="000000"/>
          <w:sz w:val="32"/>
          <w:szCs w:val="32"/>
        </w:rPr>
        <w:t>第四章 采购及外包计划的制定与实施</w:t>
      </w:r>
    </w:p>
    <w:p w14:paraId="64C8D37D">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Times New Roman" w:eastAsia="仿宋_GB2312" w:cs="Times New Roman"/>
          <w:sz w:val="32"/>
          <w:szCs w:val="32"/>
        </w:rPr>
      </w:pPr>
      <w:r>
        <w:rPr>
          <w:rFonts w:hint="eastAsia" w:ascii="楷体_GB2312" w:hAnsi="Times New Roman" w:eastAsia="楷体_GB2312" w:cs="Times New Roman"/>
          <w:color w:val="000000"/>
          <w:sz w:val="32"/>
          <w:szCs w:val="32"/>
        </w:rPr>
        <w:t>第十二条</w:t>
      </w:r>
      <w:r>
        <w:rPr>
          <w:rStyle w:val="6"/>
          <w:rFonts w:hint="eastAsia" w:ascii="方正仿宋简体" w:hAnsi="方正仿宋简体" w:eastAsia="方正仿宋简体" w:cs="方正仿宋简体"/>
          <w:color w:val="auto"/>
          <w:sz w:val="32"/>
          <w:szCs w:val="32"/>
        </w:rPr>
        <w:t xml:space="preserve">  </w:t>
      </w:r>
      <w:r>
        <w:rPr>
          <w:rFonts w:hint="eastAsia" w:ascii="仿宋_GB2312" w:hAnsi="Times New Roman" w:eastAsia="仿宋_GB2312" w:cs="Times New Roman"/>
          <w:sz w:val="32"/>
          <w:szCs w:val="32"/>
        </w:rPr>
        <w:t>采购和外包计划需有利于基金会战略目标的实现和运营需求，且在合理的预算范围之内。</w:t>
      </w:r>
    </w:p>
    <w:p w14:paraId="6D672CA1">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Times New Roman" w:eastAsia="仿宋_GB2312" w:cs="Times New Roman"/>
          <w:sz w:val="32"/>
          <w:szCs w:val="32"/>
        </w:rPr>
      </w:pPr>
      <w:r>
        <w:rPr>
          <w:rFonts w:hint="eastAsia" w:ascii="楷体_GB2312" w:hAnsi="Times New Roman" w:eastAsia="楷体_GB2312" w:cs="Times New Roman"/>
          <w:color w:val="000000"/>
          <w:sz w:val="32"/>
          <w:szCs w:val="32"/>
        </w:rPr>
        <w:t>第十三条</w:t>
      </w:r>
      <w:r>
        <w:rPr>
          <w:rStyle w:val="6"/>
          <w:rFonts w:hint="eastAsia" w:ascii="方正仿宋简体" w:hAnsi="方正仿宋简体" w:eastAsia="方正仿宋简体" w:cs="方正仿宋简体"/>
          <w:color w:val="auto"/>
          <w:sz w:val="32"/>
          <w:szCs w:val="32"/>
        </w:rPr>
        <w:t xml:space="preserve">  </w:t>
      </w:r>
      <w:r>
        <w:rPr>
          <w:rFonts w:hint="eastAsia" w:ascii="仿宋_GB2312" w:hAnsi="Times New Roman" w:eastAsia="仿宋_GB2312" w:cs="Times New Roman"/>
          <w:sz w:val="32"/>
          <w:szCs w:val="32"/>
        </w:rPr>
        <w:t>基金会的集中采购和外包计划应纳入年度预算管理。预算外的集中采购与外包事项或采购计划的重大调整，应按《章程</w:t>
      </w:r>
      <w:r>
        <w:rPr>
          <w:rFonts w:hint="eastAsia" w:ascii="仿宋_GB2312" w:eastAsia="仿宋_GB2312" w:cs="Times New Roman"/>
          <w:sz w:val="32"/>
          <w:szCs w:val="32"/>
          <w:lang w:eastAsia="zh-CN"/>
        </w:rPr>
        <w:t>》《</w:t>
      </w:r>
      <w:r>
        <w:rPr>
          <w:rFonts w:hint="eastAsia" w:ascii="仿宋_GB2312" w:hAnsi="Times New Roman" w:eastAsia="仿宋_GB2312" w:cs="Times New Roman"/>
          <w:sz w:val="32"/>
          <w:szCs w:val="32"/>
        </w:rPr>
        <w:t>财务管理制度》等相关规定报批。</w:t>
      </w:r>
    </w:p>
    <w:p w14:paraId="3F4B5CEF">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Times New Roman" w:eastAsia="仿宋_GB2312" w:cs="Times New Roman"/>
          <w:sz w:val="32"/>
          <w:szCs w:val="32"/>
        </w:rPr>
      </w:pPr>
      <w:r>
        <w:rPr>
          <w:rFonts w:hint="eastAsia" w:ascii="楷体_GB2312" w:hAnsi="Times New Roman" w:eastAsia="楷体_GB2312" w:cs="Times New Roman"/>
          <w:color w:val="000000"/>
          <w:sz w:val="32"/>
          <w:szCs w:val="32"/>
        </w:rPr>
        <w:t>第十四条</w:t>
      </w:r>
      <w:r>
        <w:rPr>
          <w:rStyle w:val="6"/>
          <w:rFonts w:hint="eastAsia" w:ascii="方正仿宋简体" w:hAnsi="方正仿宋简体" w:eastAsia="方正仿宋简体" w:cs="方正仿宋简体"/>
          <w:color w:val="auto"/>
          <w:sz w:val="32"/>
          <w:szCs w:val="32"/>
        </w:rPr>
        <w:t xml:space="preserve">  </w:t>
      </w:r>
      <w:r>
        <w:rPr>
          <w:rFonts w:hint="eastAsia" w:ascii="仿宋_GB2312" w:hAnsi="Times New Roman" w:eastAsia="仿宋_GB2312" w:cs="Times New Roman"/>
          <w:sz w:val="32"/>
          <w:szCs w:val="32"/>
        </w:rPr>
        <w:t>采购的执行包括采购及外包的申请、采购合同、订单/外包协议的签订、过程监督、物资/服务验收和付款。</w:t>
      </w:r>
    </w:p>
    <w:p w14:paraId="1A60BF45">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Times New Roman" w:eastAsia="仿宋_GB2312" w:cs="Times New Roman"/>
          <w:sz w:val="32"/>
          <w:szCs w:val="32"/>
        </w:rPr>
      </w:pPr>
      <w:r>
        <w:rPr>
          <w:rFonts w:hint="eastAsia" w:ascii="楷体_GB2312" w:hAnsi="Times New Roman" w:eastAsia="楷体_GB2312" w:cs="Times New Roman"/>
          <w:color w:val="000000"/>
          <w:sz w:val="32"/>
          <w:szCs w:val="32"/>
        </w:rPr>
        <w:t>第十五条</w:t>
      </w:r>
      <w:r>
        <w:rPr>
          <w:rStyle w:val="6"/>
          <w:rFonts w:hint="eastAsia" w:ascii="方正仿宋简体" w:hAnsi="方正仿宋简体" w:eastAsia="方正仿宋简体" w:cs="方正仿宋简体"/>
          <w:color w:val="auto"/>
          <w:sz w:val="32"/>
          <w:szCs w:val="32"/>
        </w:rPr>
        <w:t xml:space="preserve">  </w:t>
      </w:r>
      <w:r>
        <w:rPr>
          <w:rFonts w:hint="eastAsia" w:ascii="仿宋_GB2312" w:hAnsi="Times New Roman" w:eastAsia="仿宋_GB2312" w:cs="Times New Roman"/>
          <w:sz w:val="32"/>
          <w:szCs w:val="32"/>
        </w:rPr>
        <w:t>为杜绝合规风险，采购需求部门需严格遵守各类采购对应的申请流程，各分权审批部门应严格把关，防范错误决策。</w:t>
      </w:r>
    </w:p>
    <w:p w14:paraId="149118C3">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Times New Roman" w:eastAsia="仿宋_GB2312" w:cs="Times New Roman"/>
          <w:sz w:val="32"/>
          <w:szCs w:val="32"/>
        </w:rPr>
      </w:pPr>
      <w:r>
        <w:rPr>
          <w:rFonts w:hint="eastAsia" w:ascii="楷体_GB2312" w:hAnsi="Times New Roman" w:eastAsia="楷体_GB2312" w:cs="Times New Roman"/>
          <w:color w:val="000000"/>
          <w:sz w:val="32"/>
          <w:szCs w:val="32"/>
        </w:rPr>
        <w:t>第十六条</w:t>
      </w:r>
      <w:r>
        <w:rPr>
          <w:rStyle w:val="6"/>
          <w:rFonts w:hint="eastAsia" w:ascii="方正仿宋简体" w:hAnsi="方正仿宋简体" w:eastAsia="方正仿宋简体" w:cs="方正仿宋简体"/>
          <w:color w:val="auto"/>
          <w:sz w:val="32"/>
          <w:szCs w:val="32"/>
        </w:rPr>
        <w:t xml:space="preserve">  </w:t>
      </w:r>
      <w:r>
        <w:rPr>
          <w:rFonts w:hint="eastAsia" w:ascii="仿宋_GB2312" w:hAnsi="Times New Roman" w:eastAsia="仿宋_GB2312" w:cs="Times New Roman"/>
          <w:sz w:val="32"/>
          <w:szCs w:val="32"/>
        </w:rPr>
        <w:t>采购合同、订单/外包协议由各需求部门负责管理，采购管理部门进行供应商资格复审，财务管理部门确认采购合同、订单/服务协议金额后报秘书处审批。</w:t>
      </w:r>
    </w:p>
    <w:p w14:paraId="1B6AF947">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Times New Roman" w:eastAsia="仿宋_GB2312" w:cs="Times New Roman"/>
          <w:sz w:val="32"/>
          <w:szCs w:val="32"/>
        </w:rPr>
      </w:pPr>
      <w:r>
        <w:rPr>
          <w:rFonts w:hint="eastAsia" w:ascii="楷体_GB2312" w:hAnsi="Times New Roman" w:eastAsia="楷体_GB2312" w:cs="Times New Roman"/>
          <w:color w:val="000000"/>
          <w:sz w:val="32"/>
          <w:szCs w:val="32"/>
        </w:rPr>
        <w:t>第十七条</w:t>
      </w:r>
      <w:r>
        <w:rPr>
          <w:rStyle w:val="6"/>
          <w:rFonts w:hint="eastAsia" w:ascii="方正仿宋简体" w:hAnsi="方正仿宋简体" w:eastAsia="方正仿宋简体" w:cs="方正仿宋简体"/>
          <w:color w:val="auto"/>
          <w:sz w:val="32"/>
          <w:szCs w:val="32"/>
        </w:rPr>
        <w:t xml:space="preserve">  </w:t>
      </w:r>
      <w:r>
        <w:rPr>
          <w:rFonts w:hint="eastAsia" w:ascii="仿宋_GB2312" w:hAnsi="Times New Roman" w:eastAsia="仿宋_GB2312" w:cs="Times New Roman"/>
          <w:sz w:val="32"/>
          <w:szCs w:val="32"/>
        </w:rPr>
        <w:t>采购合同、订单/服务协议需约定物资品类或服务内容、付款条款、付款方式、双方权利义务、验收方式和验收方式标准、违约处理等内容。</w:t>
      </w:r>
    </w:p>
    <w:p w14:paraId="54105535">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Times New Roman" w:eastAsia="仿宋_GB2312" w:cs="Times New Roman"/>
          <w:sz w:val="32"/>
          <w:szCs w:val="32"/>
        </w:rPr>
      </w:pPr>
      <w:r>
        <w:rPr>
          <w:rFonts w:hint="eastAsia" w:ascii="楷体_GB2312" w:hAnsi="Times New Roman" w:eastAsia="楷体_GB2312" w:cs="Times New Roman"/>
          <w:color w:val="000000"/>
          <w:sz w:val="32"/>
          <w:szCs w:val="32"/>
        </w:rPr>
        <w:t>第十八条</w:t>
      </w:r>
      <w:r>
        <w:rPr>
          <w:rStyle w:val="6"/>
          <w:rFonts w:hint="eastAsia" w:ascii="方正仿宋简体" w:hAnsi="方正仿宋简体" w:eastAsia="方正仿宋简体" w:cs="方正仿宋简体"/>
          <w:color w:val="auto"/>
          <w:sz w:val="32"/>
          <w:szCs w:val="32"/>
        </w:rPr>
        <w:t xml:space="preserve">  </w:t>
      </w:r>
      <w:r>
        <w:rPr>
          <w:rFonts w:hint="eastAsia" w:ascii="仿宋_GB2312" w:hAnsi="Times New Roman" w:eastAsia="仿宋_GB2312" w:cs="Times New Roman"/>
          <w:sz w:val="32"/>
          <w:szCs w:val="32"/>
        </w:rPr>
        <w:t>除合同/协议明确提及，否则任何供应商的分包行为都需得到基金会的书面授权，分包方资质需通过基金会审核符合基金会相关供应商评估标准。</w:t>
      </w:r>
    </w:p>
    <w:p w14:paraId="2F7EACCA">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Times New Roman" w:eastAsia="仿宋_GB2312" w:cs="Times New Roman"/>
          <w:sz w:val="32"/>
          <w:szCs w:val="32"/>
        </w:rPr>
      </w:pPr>
      <w:r>
        <w:rPr>
          <w:rFonts w:hint="eastAsia" w:ascii="楷体_GB2312" w:hAnsi="Times New Roman" w:eastAsia="楷体_GB2312" w:cs="Times New Roman"/>
          <w:color w:val="000000"/>
          <w:sz w:val="32"/>
          <w:szCs w:val="32"/>
        </w:rPr>
        <w:t>第十九条</w:t>
      </w:r>
      <w:r>
        <w:rPr>
          <w:rStyle w:val="6"/>
          <w:rFonts w:hint="eastAsia" w:ascii="方正仿宋简体" w:hAnsi="方正仿宋简体" w:eastAsia="方正仿宋简体" w:cs="方正仿宋简体"/>
          <w:color w:val="auto"/>
          <w:sz w:val="32"/>
          <w:szCs w:val="32"/>
        </w:rPr>
        <w:t xml:space="preserve">  </w:t>
      </w:r>
      <w:r>
        <w:rPr>
          <w:rFonts w:hint="eastAsia" w:ascii="仿宋_GB2312" w:hAnsi="Times New Roman" w:eastAsia="仿宋_GB2312" w:cs="Times New Roman"/>
          <w:sz w:val="32"/>
          <w:szCs w:val="32"/>
        </w:rPr>
        <w:t>采购需求部门负责针对不同的采购和外包服务类型制定监督检查的标准及方式，并开展定期的监督检查工作，确保采购及外包服务按要求实施。</w:t>
      </w:r>
    </w:p>
    <w:p w14:paraId="7E697043">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Times New Roman" w:eastAsia="仿宋_GB2312" w:cs="Times New Roman"/>
          <w:sz w:val="32"/>
          <w:szCs w:val="32"/>
        </w:rPr>
      </w:pPr>
      <w:r>
        <w:rPr>
          <w:rFonts w:hint="eastAsia" w:ascii="楷体_GB2312" w:hAnsi="Times New Roman" w:eastAsia="楷体_GB2312" w:cs="Times New Roman"/>
          <w:color w:val="000000"/>
          <w:sz w:val="32"/>
          <w:szCs w:val="32"/>
        </w:rPr>
        <w:t>第二十条</w:t>
      </w:r>
      <w:r>
        <w:rPr>
          <w:rStyle w:val="6"/>
          <w:rFonts w:hint="eastAsia" w:ascii="方正仿宋简体" w:hAnsi="方正仿宋简体" w:eastAsia="方正仿宋简体" w:cs="方正仿宋简体"/>
          <w:color w:val="auto"/>
          <w:sz w:val="32"/>
          <w:szCs w:val="32"/>
        </w:rPr>
        <w:t xml:space="preserve">  </w:t>
      </w:r>
      <w:r>
        <w:rPr>
          <w:rFonts w:hint="eastAsia" w:ascii="仿宋_GB2312" w:hAnsi="Times New Roman" w:eastAsia="仿宋_GB2312" w:cs="Times New Roman"/>
          <w:sz w:val="32"/>
          <w:szCs w:val="32"/>
        </w:rPr>
        <w:t>采购物品的验收，由采购需求单位和采购管理部门共同到场，并与采购合同、货运单、采购订单核对，确保采购物资的数量和质量，验收合格后方可入库。外包服务的验收由采购需求部门根据采购合同/服务协议约定的验收标准，对提供的服务进行评价，报采购管理部门审核后确认是否可以验收，验收结果报秘书处审核。</w:t>
      </w:r>
    </w:p>
    <w:p w14:paraId="69C6EBD3">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lang w:val="en-US" w:eastAsia="zh-CN"/>
        </w:rPr>
        <w:t>直接发往需求方无需入库的采购物品，由合作执行方或需求方在收货时提供物品详细照片、数量及质量情况，并于采购部门当场确认，代为验收合格后方可签收。</w:t>
      </w:r>
    </w:p>
    <w:p w14:paraId="5F63B3B4">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方正仿宋简体" w:hAnsi="方正仿宋简体" w:eastAsia="方正仿宋简体" w:cs="方正仿宋简体"/>
          <w:color w:val="auto"/>
          <w:sz w:val="32"/>
          <w:szCs w:val="32"/>
        </w:rPr>
      </w:pPr>
      <w:r>
        <w:rPr>
          <w:rFonts w:hint="eastAsia" w:ascii="楷体_GB2312" w:hAnsi="Times New Roman" w:eastAsia="楷体_GB2312" w:cs="Times New Roman"/>
          <w:color w:val="000000"/>
          <w:sz w:val="32"/>
          <w:szCs w:val="32"/>
        </w:rPr>
        <w:t>第二十一条</w:t>
      </w:r>
      <w:r>
        <w:rPr>
          <w:rStyle w:val="6"/>
          <w:rFonts w:hint="eastAsia" w:ascii="方正仿宋简体" w:hAnsi="方正仿宋简体" w:eastAsia="方正仿宋简体" w:cs="方正仿宋简体"/>
          <w:color w:val="auto"/>
          <w:sz w:val="32"/>
          <w:szCs w:val="32"/>
        </w:rPr>
        <w:t xml:space="preserve">  </w:t>
      </w:r>
      <w:r>
        <w:rPr>
          <w:rFonts w:hint="eastAsia" w:ascii="仿宋_GB2312" w:hAnsi="Times New Roman" w:eastAsia="仿宋_GB2312" w:cs="Times New Roman"/>
          <w:sz w:val="32"/>
          <w:szCs w:val="32"/>
        </w:rPr>
        <w:t>采购完成验收后，采购部门须及时按照财务相关规定办理报销或请款</w:t>
      </w:r>
      <w:r>
        <w:rPr>
          <w:rFonts w:hint="eastAsia" w:ascii="方正仿宋简体" w:hAnsi="方正仿宋简体" w:eastAsia="方正仿宋简体" w:cs="方正仿宋简体"/>
          <w:color w:val="auto"/>
          <w:sz w:val="32"/>
          <w:szCs w:val="32"/>
        </w:rPr>
        <w:t>。</w:t>
      </w:r>
    </w:p>
    <w:p w14:paraId="7423B0D8">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方正仿宋简体" w:hAnsi="方正仿宋简体" w:eastAsia="方正仿宋简体" w:cs="方正仿宋简体"/>
          <w:color w:val="auto"/>
          <w:sz w:val="32"/>
          <w:szCs w:val="32"/>
        </w:rPr>
      </w:pPr>
    </w:p>
    <w:p w14:paraId="6138A539">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黑体" w:hAnsi="黑体" w:eastAsia="黑体" w:cs="Times New Roman"/>
          <w:color w:val="000000"/>
          <w:sz w:val="32"/>
          <w:szCs w:val="32"/>
        </w:rPr>
      </w:pPr>
      <w:r>
        <w:rPr>
          <w:rFonts w:hint="eastAsia" w:ascii="黑体" w:hAnsi="黑体" w:eastAsia="黑体" w:cs="Times New Roman"/>
          <w:color w:val="000000"/>
          <w:sz w:val="32"/>
          <w:szCs w:val="32"/>
        </w:rPr>
        <w:t>第五章 采购及外包伦理</w:t>
      </w:r>
    </w:p>
    <w:p w14:paraId="3B2D60DA">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Times New Roman" w:eastAsia="仿宋_GB2312" w:cs="Times New Roman"/>
          <w:sz w:val="32"/>
          <w:szCs w:val="32"/>
          <w:lang w:val="en-US" w:eastAsia="zh-CN"/>
        </w:rPr>
      </w:pPr>
      <w:r>
        <w:rPr>
          <w:rFonts w:hint="eastAsia" w:ascii="楷体_GB2312" w:hAnsi="Times New Roman" w:eastAsia="楷体_GB2312" w:cs="Times New Roman"/>
          <w:color w:val="000000"/>
          <w:sz w:val="32"/>
          <w:szCs w:val="32"/>
        </w:rPr>
        <w:t>第二十二条</w:t>
      </w:r>
      <w:r>
        <w:rPr>
          <w:rStyle w:val="6"/>
          <w:rFonts w:hint="eastAsia" w:ascii="方正仿宋简体" w:hAnsi="方正仿宋简体" w:eastAsia="方正仿宋简体" w:cs="方正仿宋简体"/>
          <w:color w:val="auto"/>
          <w:sz w:val="32"/>
          <w:szCs w:val="32"/>
        </w:rPr>
        <w:t xml:space="preserve">  </w:t>
      </w:r>
      <w:r>
        <w:rPr>
          <w:rFonts w:hint="eastAsia" w:ascii="方正仿宋简体" w:hAnsi="方正仿宋简体" w:eastAsia="方正仿宋简体" w:cs="方正仿宋简体"/>
          <w:color w:val="auto"/>
          <w:sz w:val="32"/>
          <w:szCs w:val="32"/>
        </w:rPr>
        <w:t>基</w:t>
      </w:r>
      <w:r>
        <w:rPr>
          <w:rFonts w:hint="eastAsia" w:ascii="仿宋_GB2312" w:hAnsi="Times New Roman" w:eastAsia="仿宋_GB2312" w:cs="Times New Roman"/>
          <w:sz w:val="32"/>
          <w:szCs w:val="32"/>
          <w:lang w:val="en-US" w:eastAsia="zh-CN"/>
        </w:rPr>
        <w:t>金会不得将应当以公开招标方式采购的项目化整为零或者以其他任何方式规避公开招标采购。基金会采购当事人不得互相串通损害基金会利益、社会公共利益和其他当事人的合法权益。</w:t>
      </w:r>
    </w:p>
    <w:p w14:paraId="489A4AB9">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Times New Roman" w:eastAsia="仿宋_GB2312" w:cs="Times New Roman"/>
          <w:sz w:val="32"/>
          <w:szCs w:val="32"/>
          <w:lang w:val="en-US" w:eastAsia="zh-CN"/>
        </w:rPr>
      </w:pPr>
      <w:r>
        <w:rPr>
          <w:rFonts w:hint="eastAsia" w:ascii="楷体_GB2312" w:hAnsi="Times New Roman" w:eastAsia="楷体_GB2312" w:cs="Times New Roman"/>
          <w:color w:val="000000"/>
          <w:sz w:val="32"/>
          <w:szCs w:val="32"/>
        </w:rPr>
        <w:t>第二十三条</w:t>
      </w:r>
      <w:r>
        <w:rPr>
          <w:rStyle w:val="6"/>
          <w:rFonts w:hint="eastAsia" w:ascii="方正仿宋简体" w:hAnsi="方正仿宋简体" w:eastAsia="方正仿宋简体" w:cs="方正仿宋简体"/>
          <w:color w:val="auto"/>
          <w:sz w:val="32"/>
          <w:szCs w:val="32"/>
        </w:rPr>
        <w:t xml:space="preserve">  </w:t>
      </w:r>
      <w:r>
        <w:rPr>
          <w:rFonts w:hint="eastAsia" w:ascii="仿宋_GB2312" w:hAnsi="Times New Roman" w:eastAsia="仿宋_GB2312" w:cs="Times New Roman"/>
          <w:sz w:val="32"/>
          <w:szCs w:val="32"/>
          <w:lang w:val="en-US" w:eastAsia="zh-CN"/>
        </w:rPr>
        <w:t>对采购当事人泄露标底等应当保密的与采购活动有关的情况和资料以及其他违反有关法律、行政法规和本规定的行为，依法追究责任。</w:t>
      </w:r>
    </w:p>
    <w:p w14:paraId="125E70DF">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Times New Roman" w:eastAsia="仿宋_GB2312" w:cs="Times New Roman"/>
          <w:sz w:val="32"/>
          <w:szCs w:val="32"/>
          <w:lang w:val="en-US" w:eastAsia="zh-CN"/>
        </w:rPr>
      </w:pPr>
      <w:r>
        <w:rPr>
          <w:rFonts w:hint="eastAsia" w:ascii="楷体_GB2312" w:hAnsi="Times New Roman" w:eastAsia="楷体_GB2312" w:cs="Times New Roman"/>
          <w:color w:val="000000"/>
          <w:sz w:val="32"/>
          <w:szCs w:val="32"/>
        </w:rPr>
        <w:t>第二十四条</w:t>
      </w:r>
      <w:r>
        <w:rPr>
          <w:rStyle w:val="6"/>
          <w:rFonts w:hint="eastAsia" w:ascii="方正仿宋简体" w:hAnsi="方正仿宋简体" w:eastAsia="方正仿宋简体" w:cs="方正仿宋简体"/>
          <w:color w:val="auto"/>
          <w:sz w:val="32"/>
          <w:szCs w:val="32"/>
        </w:rPr>
        <w:t xml:space="preserve">  </w:t>
      </w:r>
      <w:r>
        <w:rPr>
          <w:rFonts w:hint="eastAsia" w:ascii="仿宋_GB2312" w:hAnsi="Times New Roman" w:eastAsia="仿宋_GB2312" w:cs="Times New Roman"/>
          <w:sz w:val="32"/>
          <w:szCs w:val="32"/>
          <w:lang w:val="en-US" w:eastAsia="zh-CN"/>
        </w:rPr>
        <w:t>基金会使用赠款进行采购，赠款人对采购方式有约定的，在同等情况下可从其约定，不得损害基金会利益和社会公共利益。</w:t>
      </w:r>
    </w:p>
    <w:p w14:paraId="4044A6F3">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Times New Roman" w:eastAsia="仿宋_GB2312" w:cs="Times New Roman"/>
          <w:sz w:val="32"/>
          <w:szCs w:val="32"/>
          <w:lang w:val="en-US" w:eastAsia="zh-CN"/>
        </w:rPr>
      </w:pPr>
    </w:p>
    <w:p w14:paraId="492BC2E2">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黑体" w:hAnsi="黑体" w:eastAsia="黑体" w:cs="Times New Roman"/>
          <w:color w:val="000000"/>
          <w:sz w:val="32"/>
          <w:szCs w:val="32"/>
        </w:rPr>
      </w:pPr>
      <w:r>
        <w:rPr>
          <w:rFonts w:hint="eastAsia" w:ascii="黑体" w:hAnsi="黑体" w:eastAsia="黑体" w:cs="Times New Roman"/>
          <w:color w:val="000000"/>
          <w:sz w:val="32"/>
          <w:szCs w:val="32"/>
        </w:rPr>
        <w:t>第六章 附则</w:t>
      </w:r>
    </w:p>
    <w:p w14:paraId="383CEB4D">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Times New Roman" w:eastAsia="仿宋_GB2312" w:cs="Times New Roman"/>
          <w:sz w:val="32"/>
          <w:szCs w:val="32"/>
          <w:lang w:val="en-US" w:eastAsia="zh-CN"/>
        </w:rPr>
      </w:pPr>
      <w:r>
        <w:rPr>
          <w:rFonts w:hint="eastAsia" w:ascii="楷体_GB2312" w:hAnsi="Times New Roman" w:eastAsia="楷体_GB2312" w:cs="Times New Roman"/>
          <w:color w:val="000000"/>
          <w:sz w:val="32"/>
          <w:szCs w:val="32"/>
        </w:rPr>
        <w:t>第二十五条</w:t>
      </w:r>
      <w:r>
        <w:rPr>
          <w:rFonts w:hint="eastAsia" w:ascii="方正仿宋简体" w:hAnsi="方正仿宋简体" w:eastAsia="方正仿宋简体" w:cs="方正仿宋简体"/>
          <w:color w:val="auto"/>
          <w:sz w:val="32"/>
          <w:szCs w:val="32"/>
        </w:rPr>
        <w:t xml:space="preserve"> </w:t>
      </w:r>
      <w:r>
        <w:rPr>
          <w:rFonts w:hint="eastAsia" w:ascii="仿宋_GB2312" w:hAnsi="Times New Roman" w:eastAsia="仿宋_GB2312" w:cs="Times New Roman"/>
          <w:sz w:val="32"/>
          <w:szCs w:val="32"/>
          <w:lang w:val="en-US" w:eastAsia="zh-CN"/>
        </w:rPr>
        <w:t>本办法由宁波鄞州银行公益基金会制定、修改、解释</w:t>
      </w:r>
      <w:r>
        <w:rPr>
          <w:rFonts w:hint="eastAsia" w:ascii="仿宋_GB2312" w:eastAsia="仿宋_GB2312" w:cs="Times New Roman"/>
          <w:sz w:val="32"/>
          <w:szCs w:val="32"/>
          <w:lang w:val="en-US" w:eastAsia="zh-CN"/>
        </w:rPr>
        <w:t>，</w:t>
      </w:r>
      <w:r>
        <w:rPr>
          <w:rFonts w:hint="eastAsia" w:ascii="仿宋_GB2312" w:hAnsi="Times New Roman" w:eastAsia="仿宋_GB2312" w:cs="Times New Roman"/>
          <w:sz w:val="32"/>
          <w:szCs w:val="32"/>
          <w:lang w:val="en-US" w:eastAsia="zh-CN"/>
        </w:rPr>
        <w:t>与国家法律法规发生冲突，以国家法律法规为准。</w:t>
      </w:r>
    </w:p>
    <w:p w14:paraId="6AB6B705">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Times New Roman" w:eastAsia="仿宋_GB2312" w:cs="Times New Roman"/>
          <w:sz w:val="32"/>
          <w:szCs w:val="32"/>
          <w:lang w:val="en-US" w:eastAsia="zh-CN"/>
        </w:rPr>
      </w:pPr>
      <w:r>
        <w:rPr>
          <w:rFonts w:hint="eastAsia" w:ascii="楷体_GB2312" w:hAnsi="Times New Roman" w:eastAsia="楷体_GB2312" w:cs="Times New Roman"/>
          <w:color w:val="000000"/>
          <w:sz w:val="32"/>
          <w:szCs w:val="32"/>
        </w:rPr>
        <w:t>第二十六条</w:t>
      </w:r>
      <w:r>
        <w:rPr>
          <w:rFonts w:hint="eastAsia" w:ascii="方正仿宋简体" w:hAnsi="方正仿宋简体" w:eastAsia="方正仿宋简体" w:cs="方正仿宋简体"/>
          <w:color w:val="auto"/>
          <w:sz w:val="32"/>
          <w:szCs w:val="32"/>
        </w:rPr>
        <w:t xml:space="preserve">  </w:t>
      </w:r>
      <w:r>
        <w:rPr>
          <w:rFonts w:hint="eastAsia" w:ascii="仿宋_GB2312" w:hAnsi="Times New Roman" w:eastAsia="仿宋_GB2312" w:cs="Times New Roman"/>
          <w:sz w:val="32"/>
          <w:szCs w:val="32"/>
          <w:lang w:val="zh-TW" w:eastAsia="zh-TW"/>
        </w:rPr>
        <w:t>本</w:t>
      </w:r>
      <w:r>
        <w:rPr>
          <w:rFonts w:hint="eastAsia" w:ascii="仿宋_GB2312" w:hAnsi="Times New Roman" w:eastAsia="仿宋_GB2312" w:cs="Times New Roman"/>
          <w:sz w:val="32"/>
          <w:szCs w:val="32"/>
          <w:lang w:val="en-US" w:eastAsia="zh-CN"/>
        </w:rPr>
        <w:t>办法</w:t>
      </w:r>
      <w:r>
        <w:rPr>
          <w:rFonts w:hint="eastAsia" w:ascii="仿宋_GB2312" w:hAnsi="Times New Roman" w:eastAsia="仿宋_GB2312" w:cs="Times New Roman"/>
          <w:sz w:val="32"/>
          <w:szCs w:val="32"/>
          <w:lang w:val="zh-TW" w:eastAsia="zh-TW"/>
        </w:rPr>
        <w:t>自</w:t>
      </w:r>
      <w:r>
        <w:rPr>
          <w:rFonts w:hint="eastAsia" w:ascii="仿宋_GB2312" w:eastAsia="仿宋_GB2312" w:cs="Times New Roman"/>
          <w:sz w:val="32"/>
          <w:szCs w:val="32"/>
          <w:lang w:val="en-US" w:eastAsia="zh-CN"/>
        </w:rPr>
        <w:t>理事会</w:t>
      </w:r>
      <w:r>
        <w:rPr>
          <w:rFonts w:hint="eastAsia" w:ascii="仿宋_GB2312" w:hAnsi="Times New Roman" w:eastAsia="仿宋_GB2312" w:cs="Times New Roman"/>
          <w:sz w:val="32"/>
          <w:szCs w:val="32"/>
          <w:lang w:val="zh-TW" w:eastAsia="zh-TW"/>
        </w:rPr>
        <w:t>审议通过后，自颁布之日起施行。</w:t>
      </w:r>
    </w:p>
    <w:p w14:paraId="433A7C98">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方正仿宋简体" w:hAnsi="方正仿宋简体" w:eastAsia="方正仿宋简体" w:cs="方正仿宋简体"/>
          <w:color w:val="auto"/>
          <w:sz w:val="32"/>
          <w:szCs w:val="32"/>
          <w:lang w:val="en-US" w:eastAsia="zh-CN"/>
        </w:rPr>
      </w:pPr>
    </w:p>
    <w:p w14:paraId="6989403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right"/>
        <w:textAlignment w:val="auto"/>
        <w:rPr>
          <w:rFonts w:hint="eastAsia" w:ascii="宋体" w:hAnsi="宋体" w:eastAsia="宋体" w:cs="宋体"/>
          <w:sz w:val="24"/>
          <w:szCs w:val="24"/>
        </w:rPr>
      </w:pPr>
    </w:p>
    <w:p w14:paraId="0E07823B">
      <w:pPr>
        <w:spacing w:line="560" w:lineRule="exact"/>
        <w:ind w:right="640" w:firstLine="640" w:firstLineChars="200"/>
        <w:jc w:val="right"/>
        <w:rPr>
          <w:rFonts w:hint="default" w:ascii="仿宋_GB2312" w:hAnsi="黑体" w:eastAsia="仿宋_GB2312"/>
          <w:color w:val="000000"/>
          <w:sz w:val="32"/>
          <w:szCs w:val="32"/>
          <w:lang w:val="en-US" w:eastAsia="zh-CN"/>
        </w:rPr>
      </w:pPr>
      <w:r>
        <w:rPr>
          <w:rFonts w:hint="eastAsia" w:ascii="仿宋_GB2312" w:hAnsi="黑体" w:eastAsia="仿宋_GB2312"/>
          <w:color w:val="000000"/>
          <w:sz w:val="32"/>
          <w:szCs w:val="32"/>
        </w:rPr>
        <w:t>宁波鄞州银行</w:t>
      </w:r>
      <w:r>
        <w:rPr>
          <w:rFonts w:hint="eastAsia" w:ascii="仿宋_GB2312" w:hAnsi="黑体" w:eastAsia="仿宋_GB2312"/>
          <w:color w:val="000000"/>
          <w:sz w:val="32"/>
          <w:szCs w:val="32"/>
          <w:lang w:val="en-US" w:eastAsia="zh-CN"/>
        </w:rPr>
        <w:t>公益基金会</w:t>
      </w:r>
    </w:p>
    <w:p w14:paraId="379EAD6E">
      <w:pPr>
        <w:keepNext w:val="0"/>
        <w:keepLines w:val="0"/>
        <w:pageBreakBefore w:val="0"/>
        <w:widowControl w:val="0"/>
        <w:suppressAutoHyphens/>
        <w:kinsoku/>
        <w:wordWrap/>
        <w:overflowPunct/>
        <w:topLinePunct w:val="0"/>
        <w:autoSpaceDE/>
        <w:autoSpaceDN/>
        <w:bidi w:val="0"/>
        <w:adjustRightInd/>
        <w:snapToGrid/>
        <w:spacing w:line="600" w:lineRule="exact"/>
        <w:ind w:firstLine="878"/>
        <w:jc w:val="center"/>
        <w:textAlignment w:val="auto"/>
        <w:rPr>
          <w:rFonts w:hint="eastAsia" w:ascii="仿宋" w:hAnsi="仿宋" w:eastAsia="仿宋" w:cs="仿宋"/>
          <w:b/>
          <w:kern w:val="0"/>
          <w:sz w:val="44"/>
          <w:szCs w:val="44"/>
        </w:rPr>
      </w:pPr>
      <w:r>
        <w:rPr>
          <w:rFonts w:hint="eastAsia" w:ascii="仿宋" w:hAnsi="仿宋" w:eastAsia="仿宋" w:cs="仿宋"/>
          <w:bCs/>
          <w:kern w:val="0"/>
          <w:sz w:val="32"/>
          <w:szCs w:val="32"/>
          <w:lang w:val="en-US" w:eastAsia="zh-CN"/>
        </w:rPr>
        <w:t xml:space="preserve">                </w:t>
      </w:r>
      <w:r>
        <w:rPr>
          <w:rFonts w:hint="eastAsia" w:ascii="仿宋" w:hAnsi="仿宋" w:eastAsia="仿宋" w:cs="仿宋"/>
          <w:bCs/>
          <w:kern w:val="0"/>
          <w:sz w:val="32"/>
          <w:szCs w:val="32"/>
        </w:rPr>
        <w:t>二〇二</w:t>
      </w:r>
      <w:r>
        <w:rPr>
          <w:rFonts w:hint="eastAsia" w:ascii="仿宋" w:hAnsi="仿宋" w:eastAsia="仿宋" w:cs="仿宋"/>
          <w:bCs/>
          <w:kern w:val="0"/>
          <w:sz w:val="32"/>
          <w:szCs w:val="32"/>
          <w:lang w:val="en-US" w:eastAsia="zh-CN"/>
        </w:rPr>
        <w:t>五</w:t>
      </w:r>
      <w:r>
        <w:rPr>
          <w:rFonts w:hint="eastAsia" w:ascii="仿宋" w:hAnsi="仿宋" w:eastAsia="仿宋" w:cs="仿宋"/>
          <w:kern w:val="0"/>
          <w:sz w:val="32"/>
          <w:szCs w:val="32"/>
          <w:lang w:val="zh-TW" w:eastAsia="zh-TW"/>
        </w:rPr>
        <w:t>年</w:t>
      </w:r>
      <w:r>
        <w:rPr>
          <w:rFonts w:hint="eastAsia" w:ascii="仿宋" w:hAnsi="仿宋" w:eastAsia="仿宋" w:cs="仿宋"/>
          <w:kern w:val="0"/>
          <w:sz w:val="32"/>
          <w:szCs w:val="32"/>
        </w:rPr>
        <w:t>三</w:t>
      </w:r>
      <w:r>
        <w:rPr>
          <w:rFonts w:hint="eastAsia" w:ascii="仿宋" w:hAnsi="仿宋" w:eastAsia="仿宋" w:cs="仿宋"/>
          <w:kern w:val="0"/>
          <w:sz w:val="32"/>
          <w:szCs w:val="32"/>
          <w:lang w:val="zh-TW" w:eastAsia="zh-TW"/>
        </w:rPr>
        <w:t>月</w:t>
      </w:r>
      <w:r>
        <w:rPr>
          <w:rFonts w:hint="eastAsia" w:ascii="仿宋" w:hAnsi="仿宋" w:eastAsia="仿宋" w:cs="仿宋"/>
          <w:kern w:val="0"/>
          <w:sz w:val="32"/>
          <w:szCs w:val="32"/>
          <w:lang w:val="en-US" w:eastAsia="zh-CN"/>
        </w:rPr>
        <w:t>二十五</w:t>
      </w:r>
      <w:r>
        <w:rPr>
          <w:rFonts w:hint="eastAsia" w:ascii="仿宋" w:hAnsi="仿宋" w:eastAsia="仿宋" w:cs="仿宋"/>
          <w:kern w:val="0"/>
          <w:sz w:val="32"/>
          <w:szCs w:val="32"/>
          <w:lang w:val="zh-TW" w:eastAsia="zh-TW"/>
        </w:rPr>
        <w:t>日</w:t>
      </w:r>
    </w:p>
    <w:p w14:paraId="7246279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40" w:lineRule="exact"/>
        <w:ind w:right="0" w:rightChars="0"/>
        <w:jc w:val="right"/>
        <w:textAlignment w:val="auto"/>
        <w:rPr>
          <w:rFonts w:hint="eastAsia" w:ascii="宋体" w:hAnsi="宋体" w:eastAsia="宋体" w:cs="宋体"/>
          <w:sz w:val="24"/>
          <w:szCs w:val="24"/>
        </w:rPr>
      </w:pPr>
    </w:p>
    <w:p w14:paraId="579904E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40" w:lineRule="exact"/>
        <w:ind w:right="0" w:rightChars="0"/>
        <w:jc w:val="right"/>
        <w:textAlignment w:val="auto"/>
        <w:rPr>
          <w:rFonts w:hint="eastAsia" w:ascii="宋体" w:hAnsi="宋体" w:eastAsia="宋体" w:cs="宋体"/>
          <w:sz w:val="24"/>
          <w:szCs w:val="24"/>
        </w:rPr>
        <w:sectPr>
          <w:pgSz w:w="11906" w:h="16838"/>
          <w:pgMar w:top="1440" w:right="1800" w:bottom="1440" w:left="1800" w:header="851" w:footer="992" w:gutter="0"/>
          <w:cols w:space="425" w:num="1"/>
          <w:docGrid w:type="lines" w:linePitch="312" w:charSpace="0"/>
        </w:sectPr>
      </w:pPr>
    </w:p>
    <w:p w14:paraId="38AC9A9B">
      <w:pPr>
        <w:widowControl/>
        <w:spacing w:line="240" w:lineRule="auto"/>
        <w:ind w:firstLine="0" w:firstLineChars="0"/>
        <w:jc w:val="left"/>
        <w:rPr>
          <w:rFonts w:hint="eastAsia" w:ascii="仿宋_GB2312" w:hAnsi="仿宋_GB2312" w:eastAsia="仿宋_GB2312" w:cs="仿宋_GB2312"/>
          <w:b w:val="0"/>
          <w:bCs/>
          <w:color w:val="000000"/>
          <w:kern w:val="0"/>
          <w:sz w:val="28"/>
          <w:szCs w:val="28"/>
          <w:shd w:val="clear" w:color="auto" w:fill="FFFFFF"/>
          <w:lang w:val="en-US" w:eastAsia="zh-CN" w:bidi="ar"/>
        </w:rPr>
      </w:pPr>
      <w:r>
        <w:rPr>
          <w:rFonts w:hint="eastAsia" w:ascii="仿宋_GB2312" w:hAnsi="仿宋_GB2312" w:eastAsia="仿宋_GB2312" w:cs="仿宋_GB2312"/>
          <w:b w:val="0"/>
          <w:bCs/>
          <w:color w:val="000000"/>
          <w:kern w:val="0"/>
          <w:sz w:val="28"/>
          <w:szCs w:val="28"/>
          <w:shd w:val="clear" w:color="auto" w:fill="FFFFFF"/>
          <w:lang w:val="en-US" w:eastAsia="zh-CN" w:bidi="ar"/>
        </w:rPr>
        <w:t>附件1：</w:t>
      </w:r>
    </w:p>
    <w:p w14:paraId="7B9D5F4D">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ascii="宋体" w:hAnsi="宋体" w:eastAsia="宋体" w:cs="宋体"/>
          <w:bCs/>
          <w:color w:val="000000"/>
          <w:kern w:val="0"/>
          <w:sz w:val="30"/>
          <w:szCs w:val="30"/>
          <w:shd w:val="clear" w:color="auto" w:fill="FFFFFF"/>
          <w:lang w:bidi="ar"/>
        </w:rPr>
      </w:pPr>
      <w:r>
        <w:rPr>
          <w:rFonts w:hint="eastAsia" w:ascii="黑体" w:hAnsi="黑体" w:eastAsia="黑体" w:cs="Times New Roman"/>
          <w:color w:val="000000"/>
          <w:sz w:val="32"/>
          <w:szCs w:val="32"/>
        </w:rPr>
        <w:t>供应商评估表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9"/>
        <w:gridCol w:w="1809"/>
        <w:gridCol w:w="1739"/>
        <w:gridCol w:w="1980"/>
        <w:gridCol w:w="1668"/>
        <w:gridCol w:w="1722"/>
        <w:gridCol w:w="1722"/>
        <w:gridCol w:w="1722"/>
      </w:tblGrid>
      <w:tr w14:paraId="472B9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vAlign w:val="center"/>
          </w:tcPr>
          <w:p w14:paraId="2E30C5F5">
            <w:pPr>
              <w:keepNext w:val="0"/>
              <w:keepLines w:val="0"/>
              <w:widowControl/>
              <w:suppressLineNumbers w:val="0"/>
              <w:spacing w:before="0" w:beforeAutospacing="0" w:after="0" w:afterAutospacing="0" w:line="240" w:lineRule="auto"/>
              <w:ind w:left="0" w:right="0" w:firstLine="0" w:firstLineChars="0"/>
              <w:jc w:val="center"/>
              <w:rPr>
                <w:rFonts w:hint="eastAsia" w:ascii="仿宋_GB2312" w:hAnsi="仿宋_GB2312" w:eastAsia="仿宋_GB2312" w:cs="仿宋_GB2312"/>
                <w:bCs/>
                <w:color w:val="000000"/>
                <w:kern w:val="0"/>
                <w:sz w:val="28"/>
                <w:szCs w:val="28"/>
                <w:shd w:val="clear" w:color="auto" w:fill="FFFFFF"/>
                <w:lang w:bidi="ar"/>
              </w:rPr>
            </w:pPr>
            <w:r>
              <w:rPr>
                <w:rFonts w:hint="eastAsia" w:ascii="仿宋_GB2312" w:hAnsi="仿宋_GB2312" w:eastAsia="仿宋_GB2312" w:cs="仿宋_GB2312"/>
                <w:bCs/>
                <w:color w:val="000000"/>
                <w:kern w:val="0"/>
                <w:sz w:val="28"/>
                <w:szCs w:val="28"/>
                <w:shd w:val="clear" w:color="auto" w:fill="FFFFFF"/>
                <w:lang w:bidi="ar"/>
              </w:rPr>
              <w:t>供应商名称</w:t>
            </w:r>
          </w:p>
        </w:tc>
        <w:tc>
          <w:tcPr>
            <w:tcW w:w="1809" w:type="dxa"/>
            <w:vAlign w:val="center"/>
          </w:tcPr>
          <w:p w14:paraId="5091DE11">
            <w:pPr>
              <w:keepNext w:val="0"/>
              <w:keepLines w:val="0"/>
              <w:widowControl/>
              <w:suppressLineNumbers w:val="0"/>
              <w:spacing w:before="0" w:beforeAutospacing="0" w:after="0" w:afterAutospacing="0" w:line="240" w:lineRule="auto"/>
              <w:ind w:left="0" w:right="0" w:firstLine="0" w:firstLineChars="0"/>
              <w:jc w:val="center"/>
              <w:rPr>
                <w:rFonts w:hint="eastAsia" w:ascii="仿宋_GB2312" w:hAnsi="仿宋_GB2312" w:eastAsia="仿宋_GB2312" w:cs="仿宋_GB2312"/>
                <w:bCs/>
                <w:color w:val="000000"/>
                <w:kern w:val="0"/>
                <w:sz w:val="28"/>
                <w:szCs w:val="28"/>
                <w:shd w:val="clear" w:color="auto" w:fill="FFFFFF"/>
                <w:lang w:bidi="ar"/>
              </w:rPr>
            </w:pPr>
            <w:r>
              <w:rPr>
                <w:rFonts w:hint="eastAsia" w:ascii="仿宋_GB2312" w:hAnsi="仿宋_GB2312" w:eastAsia="仿宋_GB2312" w:cs="仿宋_GB2312"/>
                <w:bCs/>
                <w:color w:val="000000"/>
                <w:kern w:val="0"/>
                <w:sz w:val="28"/>
                <w:szCs w:val="28"/>
                <w:shd w:val="clear" w:color="auto" w:fill="FFFFFF"/>
                <w:lang w:bidi="ar"/>
              </w:rPr>
              <w:t>价格</w:t>
            </w:r>
          </w:p>
          <w:p w14:paraId="3C0E52DD">
            <w:pPr>
              <w:keepNext w:val="0"/>
              <w:keepLines w:val="0"/>
              <w:widowControl/>
              <w:suppressLineNumbers w:val="0"/>
              <w:spacing w:before="0" w:beforeAutospacing="0" w:after="0" w:afterAutospacing="0" w:line="240" w:lineRule="auto"/>
              <w:ind w:left="0" w:right="0" w:firstLine="0" w:firstLineChars="0"/>
              <w:jc w:val="center"/>
              <w:rPr>
                <w:rFonts w:hint="eastAsia" w:ascii="仿宋_GB2312" w:hAnsi="仿宋_GB2312" w:eastAsia="仿宋_GB2312" w:cs="仿宋_GB2312"/>
                <w:bCs/>
                <w:color w:val="000000"/>
                <w:kern w:val="0"/>
                <w:sz w:val="28"/>
                <w:szCs w:val="28"/>
                <w:shd w:val="clear" w:color="auto" w:fill="FFFFFF"/>
                <w:lang w:bidi="ar"/>
              </w:rPr>
            </w:pPr>
            <w:r>
              <w:rPr>
                <w:rFonts w:hint="eastAsia" w:ascii="仿宋_GB2312" w:hAnsi="仿宋_GB2312" w:eastAsia="仿宋_GB2312" w:cs="仿宋_GB2312"/>
                <w:bCs/>
                <w:color w:val="000000"/>
                <w:kern w:val="0"/>
                <w:sz w:val="28"/>
                <w:szCs w:val="28"/>
                <w:shd w:val="clear" w:color="auto" w:fill="FFFFFF"/>
                <w:lang w:bidi="ar"/>
              </w:rPr>
              <w:t>0-</w:t>
            </w:r>
            <w:r>
              <w:rPr>
                <w:rFonts w:hint="eastAsia" w:ascii="仿宋_GB2312" w:hAnsi="仿宋_GB2312" w:eastAsia="仿宋_GB2312" w:cs="仿宋_GB2312"/>
                <w:bCs/>
                <w:color w:val="000000"/>
                <w:kern w:val="0"/>
                <w:sz w:val="28"/>
                <w:szCs w:val="28"/>
                <w:shd w:val="clear" w:color="auto" w:fill="FFFFFF"/>
                <w:lang w:val="en-US" w:eastAsia="zh-CN" w:bidi="ar"/>
              </w:rPr>
              <w:t>25</w:t>
            </w:r>
            <w:r>
              <w:rPr>
                <w:rFonts w:hint="eastAsia" w:ascii="仿宋_GB2312" w:hAnsi="仿宋_GB2312" w:eastAsia="仿宋_GB2312" w:cs="仿宋_GB2312"/>
                <w:bCs/>
                <w:color w:val="000000"/>
                <w:kern w:val="0"/>
                <w:sz w:val="28"/>
                <w:szCs w:val="28"/>
                <w:shd w:val="clear" w:color="auto" w:fill="FFFFFF"/>
                <w:lang w:bidi="ar"/>
              </w:rPr>
              <w:t>分</w:t>
            </w:r>
          </w:p>
        </w:tc>
        <w:tc>
          <w:tcPr>
            <w:tcW w:w="1739" w:type="dxa"/>
            <w:vAlign w:val="center"/>
          </w:tcPr>
          <w:p w14:paraId="129E1AF1">
            <w:pPr>
              <w:keepNext w:val="0"/>
              <w:keepLines w:val="0"/>
              <w:widowControl/>
              <w:suppressLineNumbers w:val="0"/>
              <w:spacing w:before="0" w:beforeAutospacing="0" w:after="0" w:afterAutospacing="0" w:line="240" w:lineRule="auto"/>
              <w:ind w:left="0" w:right="0" w:firstLine="0" w:firstLineChars="0"/>
              <w:jc w:val="center"/>
              <w:rPr>
                <w:rFonts w:hint="eastAsia" w:ascii="仿宋_GB2312" w:hAnsi="仿宋_GB2312" w:eastAsia="仿宋_GB2312" w:cs="仿宋_GB2312"/>
                <w:bCs/>
                <w:color w:val="000000"/>
                <w:kern w:val="0"/>
                <w:sz w:val="28"/>
                <w:szCs w:val="28"/>
                <w:shd w:val="clear" w:color="auto" w:fill="FFFFFF"/>
                <w:lang w:bidi="ar"/>
              </w:rPr>
            </w:pPr>
            <w:r>
              <w:rPr>
                <w:rFonts w:hint="eastAsia" w:ascii="仿宋_GB2312" w:hAnsi="仿宋_GB2312" w:eastAsia="仿宋_GB2312" w:cs="仿宋_GB2312"/>
                <w:bCs/>
                <w:color w:val="000000"/>
                <w:kern w:val="0"/>
                <w:sz w:val="28"/>
                <w:szCs w:val="28"/>
                <w:shd w:val="clear" w:color="auto" w:fill="FFFFFF"/>
                <w:lang w:bidi="ar"/>
              </w:rPr>
              <w:t>供应能力</w:t>
            </w:r>
          </w:p>
          <w:p w14:paraId="7A04B3A8">
            <w:pPr>
              <w:keepNext w:val="0"/>
              <w:keepLines w:val="0"/>
              <w:widowControl/>
              <w:suppressLineNumbers w:val="0"/>
              <w:spacing w:before="0" w:beforeAutospacing="0" w:after="0" w:afterAutospacing="0" w:line="240" w:lineRule="auto"/>
              <w:ind w:left="0" w:right="0" w:firstLine="0" w:firstLineChars="0"/>
              <w:jc w:val="center"/>
              <w:rPr>
                <w:rFonts w:hint="eastAsia" w:ascii="仿宋_GB2312" w:hAnsi="仿宋_GB2312" w:eastAsia="仿宋_GB2312" w:cs="仿宋_GB2312"/>
                <w:bCs/>
                <w:color w:val="000000"/>
                <w:kern w:val="0"/>
                <w:sz w:val="28"/>
                <w:szCs w:val="28"/>
                <w:shd w:val="clear" w:color="auto" w:fill="FFFFFF"/>
                <w:lang w:bidi="ar"/>
              </w:rPr>
            </w:pPr>
            <w:r>
              <w:rPr>
                <w:rFonts w:hint="eastAsia" w:ascii="仿宋_GB2312" w:hAnsi="仿宋_GB2312" w:eastAsia="仿宋_GB2312" w:cs="仿宋_GB2312"/>
                <w:bCs/>
                <w:color w:val="000000"/>
                <w:kern w:val="0"/>
                <w:sz w:val="28"/>
                <w:szCs w:val="28"/>
                <w:shd w:val="clear" w:color="auto" w:fill="FFFFFF"/>
                <w:lang w:bidi="ar"/>
              </w:rPr>
              <w:t>0-20分</w:t>
            </w:r>
          </w:p>
        </w:tc>
        <w:tc>
          <w:tcPr>
            <w:tcW w:w="1980" w:type="dxa"/>
            <w:vAlign w:val="center"/>
          </w:tcPr>
          <w:p w14:paraId="4BE8710A">
            <w:pPr>
              <w:keepNext w:val="0"/>
              <w:keepLines w:val="0"/>
              <w:widowControl/>
              <w:suppressLineNumbers w:val="0"/>
              <w:spacing w:before="0" w:beforeAutospacing="0" w:after="0" w:afterAutospacing="0" w:line="240" w:lineRule="auto"/>
              <w:ind w:left="0" w:right="0" w:firstLine="0" w:firstLineChars="0"/>
              <w:jc w:val="center"/>
              <w:rPr>
                <w:rFonts w:hint="eastAsia" w:ascii="仿宋_GB2312" w:hAnsi="仿宋_GB2312" w:eastAsia="仿宋_GB2312" w:cs="仿宋_GB2312"/>
                <w:bCs/>
                <w:color w:val="000000"/>
                <w:kern w:val="0"/>
                <w:sz w:val="28"/>
                <w:szCs w:val="28"/>
                <w:shd w:val="clear" w:color="auto" w:fill="FFFFFF"/>
                <w:lang w:bidi="ar"/>
              </w:rPr>
            </w:pPr>
            <w:r>
              <w:rPr>
                <w:rFonts w:hint="eastAsia" w:ascii="仿宋_GB2312" w:hAnsi="仿宋_GB2312" w:eastAsia="仿宋_GB2312" w:cs="仿宋_GB2312"/>
                <w:bCs/>
                <w:color w:val="000000"/>
                <w:kern w:val="0"/>
                <w:sz w:val="28"/>
                <w:szCs w:val="28"/>
                <w:shd w:val="clear" w:color="auto" w:fill="FFFFFF"/>
                <w:lang w:bidi="ar"/>
              </w:rPr>
              <w:t>产品服务质量</w:t>
            </w:r>
          </w:p>
          <w:p w14:paraId="51C07F53">
            <w:pPr>
              <w:keepNext w:val="0"/>
              <w:keepLines w:val="0"/>
              <w:widowControl/>
              <w:suppressLineNumbers w:val="0"/>
              <w:spacing w:before="0" w:beforeAutospacing="0" w:after="0" w:afterAutospacing="0" w:line="240" w:lineRule="auto"/>
              <w:ind w:left="0" w:right="0" w:firstLine="0" w:firstLineChars="0"/>
              <w:jc w:val="center"/>
              <w:rPr>
                <w:rFonts w:hint="eastAsia" w:ascii="仿宋_GB2312" w:hAnsi="仿宋_GB2312" w:eastAsia="仿宋_GB2312" w:cs="仿宋_GB2312"/>
                <w:bCs/>
                <w:color w:val="000000"/>
                <w:kern w:val="0"/>
                <w:sz w:val="28"/>
                <w:szCs w:val="28"/>
                <w:shd w:val="clear" w:color="auto" w:fill="FFFFFF"/>
                <w:lang w:bidi="ar"/>
              </w:rPr>
            </w:pPr>
            <w:r>
              <w:rPr>
                <w:rFonts w:hint="eastAsia" w:ascii="仿宋_GB2312" w:hAnsi="仿宋_GB2312" w:eastAsia="仿宋_GB2312" w:cs="仿宋_GB2312"/>
                <w:bCs/>
                <w:color w:val="000000"/>
                <w:kern w:val="0"/>
                <w:sz w:val="28"/>
                <w:szCs w:val="28"/>
                <w:shd w:val="clear" w:color="auto" w:fill="FFFFFF"/>
                <w:lang w:bidi="ar"/>
              </w:rPr>
              <w:t>0-20分</w:t>
            </w:r>
          </w:p>
        </w:tc>
        <w:tc>
          <w:tcPr>
            <w:tcW w:w="1668" w:type="dxa"/>
            <w:vAlign w:val="center"/>
          </w:tcPr>
          <w:p w14:paraId="48FE2467">
            <w:pPr>
              <w:keepNext w:val="0"/>
              <w:keepLines w:val="0"/>
              <w:widowControl/>
              <w:suppressLineNumbers w:val="0"/>
              <w:spacing w:before="0" w:beforeAutospacing="0" w:after="0" w:afterAutospacing="0" w:line="240" w:lineRule="auto"/>
              <w:ind w:left="0" w:right="0" w:firstLine="0" w:firstLineChars="0"/>
              <w:jc w:val="center"/>
              <w:rPr>
                <w:rFonts w:hint="eastAsia" w:ascii="仿宋_GB2312" w:hAnsi="仿宋_GB2312" w:eastAsia="仿宋_GB2312" w:cs="仿宋_GB2312"/>
                <w:bCs/>
                <w:color w:val="000000"/>
                <w:kern w:val="0"/>
                <w:sz w:val="28"/>
                <w:szCs w:val="28"/>
                <w:shd w:val="clear" w:color="auto" w:fill="FFFFFF"/>
                <w:lang w:bidi="ar"/>
              </w:rPr>
            </w:pPr>
            <w:r>
              <w:rPr>
                <w:rFonts w:hint="eastAsia" w:ascii="仿宋_GB2312" w:hAnsi="仿宋_GB2312" w:eastAsia="仿宋_GB2312" w:cs="仿宋_GB2312"/>
                <w:bCs/>
                <w:color w:val="000000"/>
                <w:kern w:val="0"/>
                <w:sz w:val="28"/>
                <w:szCs w:val="28"/>
                <w:shd w:val="clear" w:color="auto" w:fill="FFFFFF"/>
                <w:lang w:bidi="ar"/>
              </w:rPr>
              <w:t>交货期</w:t>
            </w:r>
          </w:p>
          <w:p w14:paraId="4EBA51C9">
            <w:pPr>
              <w:keepNext w:val="0"/>
              <w:keepLines w:val="0"/>
              <w:widowControl/>
              <w:suppressLineNumbers w:val="0"/>
              <w:spacing w:before="0" w:beforeAutospacing="0" w:after="0" w:afterAutospacing="0" w:line="240" w:lineRule="auto"/>
              <w:ind w:left="0" w:right="0" w:firstLine="0" w:firstLineChars="0"/>
              <w:jc w:val="center"/>
              <w:rPr>
                <w:rFonts w:hint="eastAsia" w:ascii="仿宋_GB2312" w:hAnsi="仿宋_GB2312" w:eastAsia="仿宋_GB2312" w:cs="仿宋_GB2312"/>
                <w:bCs/>
                <w:color w:val="000000"/>
                <w:kern w:val="0"/>
                <w:sz w:val="28"/>
                <w:szCs w:val="28"/>
                <w:shd w:val="clear" w:color="auto" w:fill="FFFFFF"/>
                <w:lang w:bidi="ar"/>
              </w:rPr>
            </w:pPr>
            <w:r>
              <w:rPr>
                <w:rFonts w:hint="eastAsia" w:ascii="仿宋_GB2312" w:hAnsi="仿宋_GB2312" w:eastAsia="仿宋_GB2312" w:cs="仿宋_GB2312"/>
                <w:bCs/>
                <w:color w:val="000000"/>
                <w:kern w:val="0"/>
                <w:sz w:val="28"/>
                <w:szCs w:val="28"/>
                <w:shd w:val="clear" w:color="auto" w:fill="FFFFFF"/>
                <w:lang w:bidi="ar"/>
              </w:rPr>
              <w:t>0-</w:t>
            </w:r>
            <w:r>
              <w:rPr>
                <w:rFonts w:hint="eastAsia" w:ascii="仿宋_GB2312" w:hAnsi="仿宋_GB2312" w:eastAsia="仿宋_GB2312" w:cs="仿宋_GB2312"/>
                <w:bCs/>
                <w:color w:val="000000"/>
                <w:kern w:val="0"/>
                <w:sz w:val="28"/>
                <w:szCs w:val="28"/>
                <w:shd w:val="clear" w:color="auto" w:fill="FFFFFF"/>
                <w:lang w:val="en-US" w:eastAsia="zh-CN" w:bidi="ar"/>
              </w:rPr>
              <w:t>15</w:t>
            </w:r>
            <w:r>
              <w:rPr>
                <w:rFonts w:hint="eastAsia" w:ascii="仿宋_GB2312" w:hAnsi="仿宋_GB2312" w:eastAsia="仿宋_GB2312" w:cs="仿宋_GB2312"/>
                <w:bCs/>
                <w:color w:val="000000"/>
                <w:kern w:val="0"/>
                <w:sz w:val="28"/>
                <w:szCs w:val="28"/>
                <w:shd w:val="clear" w:color="auto" w:fill="FFFFFF"/>
                <w:lang w:bidi="ar"/>
              </w:rPr>
              <w:t>分</w:t>
            </w:r>
          </w:p>
        </w:tc>
        <w:tc>
          <w:tcPr>
            <w:tcW w:w="1722" w:type="dxa"/>
            <w:vAlign w:val="center"/>
          </w:tcPr>
          <w:p w14:paraId="11887D4A">
            <w:pPr>
              <w:keepNext w:val="0"/>
              <w:keepLines w:val="0"/>
              <w:widowControl/>
              <w:suppressLineNumbers w:val="0"/>
              <w:spacing w:before="0" w:beforeAutospacing="0" w:after="0" w:afterAutospacing="0" w:line="240" w:lineRule="auto"/>
              <w:ind w:left="0" w:right="0" w:firstLine="0" w:firstLineChars="0"/>
              <w:jc w:val="center"/>
              <w:rPr>
                <w:rFonts w:hint="eastAsia" w:ascii="仿宋_GB2312" w:hAnsi="仿宋_GB2312" w:eastAsia="仿宋_GB2312" w:cs="仿宋_GB2312"/>
                <w:bCs/>
                <w:color w:val="000000"/>
                <w:kern w:val="0"/>
                <w:sz w:val="28"/>
                <w:szCs w:val="28"/>
                <w:shd w:val="clear" w:color="auto" w:fill="FFFFFF"/>
                <w:lang w:bidi="ar"/>
              </w:rPr>
            </w:pPr>
            <w:r>
              <w:rPr>
                <w:rFonts w:hint="eastAsia" w:ascii="仿宋_GB2312" w:hAnsi="仿宋_GB2312" w:eastAsia="仿宋_GB2312" w:cs="仿宋_GB2312"/>
                <w:bCs/>
                <w:color w:val="000000"/>
                <w:kern w:val="0"/>
                <w:sz w:val="28"/>
                <w:szCs w:val="28"/>
                <w:shd w:val="clear" w:color="auto" w:fill="FFFFFF"/>
                <w:lang w:bidi="ar"/>
              </w:rPr>
              <w:t>服务</w:t>
            </w:r>
          </w:p>
          <w:p w14:paraId="6D3B84B4">
            <w:pPr>
              <w:keepNext w:val="0"/>
              <w:keepLines w:val="0"/>
              <w:widowControl/>
              <w:suppressLineNumbers w:val="0"/>
              <w:spacing w:before="0" w:beforeAutospacing="0" w:after="0" w:afterAutospacing="0" w:line="240" w:lineRule="auto"/>
              <w:ind w:left="0" w:right="0" w:firstLine="0" w:firstLineChars="0"/>
              <w:jc w:val="center"/>
              <w:rPr>
                <w:rFonts w:hint="eastAsia" w:ascii="仿宋_GB2312" w:hAnsi="仿宋_GB2312" w:eastAsia="仿宋_GB2312" w:cs="仿宋_GB2312"/>
                <w:bCs/>
                <w:color w:val="000000"/>
                <w:kern w:val="0"/>
                <w:sz w:val="28"/>
                <w:szCs w:val="28"/>
                <w:shd w:val="clear" w:color="auto" w:fill="FFFFFF"/>
                <w:lang w:bidi="ar"/>
              </w:rPr>
            </w:pPr>
            <w:r>
              <w:rPr>
                <w:rFonts w:hint="eastAsia" w:ascii="仿宋_GB2312" w:hAnsi="仿宋_GB2312" w:eastAsia="仿宋_GB2312" w:cs="仿宋_GB2312"/>
                <w:bCs/>
                <w:color w:val="000000"/>
                <w:kern w:val="0"/>
                <w:sz w:val="28"/>
                <w:szCs w:val="28"/>
                <w:shd w:val="clear" w:color="auto" w:fill="FFFFFF"/>
                <w:lang w:bidi="ar"/>
              </w:rPr>
              <w:t>0-10分</w:t>
            </w:r>
          </w:p>
        </w:tc>
        <w:tc>
          <w:tcPr>
            <w:tcW w:w="1722" w:type="dxa"/>
            <w:vAlign w:val="center"/>
          </w:tcPr>
          <w:p w14:paraId="2D8EA169">
            <w:pPr>
              <w:keepNext w:val="0"/>
              <w:keepLines w:val="0"/>
              <w:widowControl/>
              <w:suppressLineNumbers w:val="0"/>
              <w:spacing w:before="0" w:beforeAutospacing="0" w:after="0" w:afterAutospacing="0" w:line="240" w:lineRule="auto"/>
              <w:ind w:left="0" w:right="0" w:firstLine="0" w:firstLineChars="0"/>
              <w:jc w:val="center"/>
              <w:rPr>
                <w:rFonts w:hint="eastAsia" w:ascii="仿宋_GB2312" w:hAnsi="仿宋_GB2312" w:eastAsia="仿宋_GB2312" w:cs="仿宋_GB2312"/>
                <w:bCs/>
                <w:color w:val="000000"/>
                <w:kern w:val="0"/>
                <w:sz w:val="28"/>
                <w:szCs w:val="28"/>
                <w:shd w:val="clear" w:color="auto" w:fill="FFFFFF"/>
                <w:lang w:val="en-US" w:eastAsia="zh-CN" w:bidi="ar"/>
              </w:rPr>
            </w:pPr>
            <w:r>
              <w:rPr>
                <w:rFonts w:hint="eastAsia" w:ascii="仿宋_GB2312" w:hAnsi="仿宋_GB2312" w:eastAsia="仿宋_GB2312" w:cs="仿宋_GB2312"/>
                <w:bCs/>
                <w:color w:val="000000"/>
                <w:kern w:val="0"/>
                <w:sz w:val="28"/>
                <w:szCs w:val="28"/>
                <w:shd w:val="clear" w:color="auto" w:fill="FFFFFF"/>
                <w:lang w:val="en-US" w:eastAsia="zh-CN" w:bidi="ar"/>
              </w:rPr>
              <w:t>伦理道德0-10分</w:t>
            </w:r>
          </w:p>
        </w:tc>
        <w:tc>
          <w:tcPr>
            <w:tcW w:w="1722" w:type="dxa"/>
            <w:vAlign w:val="center"/>
          </w:tcPr>
          <w:p w14:paraId="15E360A6">
            <w:pPr>
              <w:keepNext w:val="0"/>
              <w:keepLines w:val="0"/>
              <w:widowControl/>
              <w:suppressLineNumbers w:val="0"/>
              <w:spacing w:before="0" w:beforeAutospacing="0" w:after="0" w:afterAutospacing="0" w:line="240" w:lineRule="auto"/>
              <w:ind w:left="0" w:right="0" w:firstLine="0" w:firstLineChars="0"/>
              <w:jc w:val="center"/>
              <w:rPr>
                <w:rFonts w:hint="eastAsia" w:ascii="仿宋_GB2312" w:hAnsi="仿宋_GB2312" w:eastAsia="仿宋_GB2312" w:cs="仿宋_GB2312"/>
                <w:bCs/>
                <w:color w:val="000000"/>
                <w:kern w:val="0"/>
                <w:sz w:val="28"/>
                <w:szCs w:val="28"/>
                <w:shd w:val="clear" w:color="auto" w:fill="FFFFFF"/>
                <w:lang w:bidi="ar"/>
              </w:rPr>
            </w:pPr>
            <w:r>
              <w:rPr>
                <w:rFonts w:hint="eastAsia" w:ascii="仿宋_GB2312" w:hAnsi="仿宋_GB2312" w:eastAsia="仿宋_GB2312" w:cs="仿宋_GB2312"/>
                <w:bCs/>
                <w:color w:val="000000"/>
                <w:kern w:val="0"/>
                <w:sz w:val="28"/>
                <w:szCs w:val="28"/>
                <w:shd w:val="clear" w:color="auto" w:fill="FFFFFF"/>
                <w:lang w:bidi="ar"/>
              </w:rPr>
              <w:t>总分</w:t>
            </w:r>
          </w:p>
          <w:p w14:paraId="73DC82D5">
            <w:pPr>
              <w:keepNext w:val="0"/>
              <w:keepLines w:val="0"/>
              <w:widowControl/>
              <w:suppressLineNumbers w:val="0"/>
              <w:spacing w:before="0" w:beforeAutospacing="0" w:after="0" w:afterAutospacing="0" w:line="240" w:lineRule="auto"/>
              <w:ind w:left="0" w:right="0" w:firstLine="0" w:firstLineChars="0"/>
              <w:jc w:val="center"/>
              <w:rPr>
                <w:rFonts w:hint="eastAsia" w:ascii="仿宋_GB2312" w:hAnsi="仿宋_GB2312" w:eastAsia="仿宋_GB2312" w:cs="仿宋_GB2312"/>
                <w:bCs/>
                <w:color w:val="000000"/>
                <w:kern w:val="0"/>
                <w:sz w:val="28"/>
                <w:szCs w:val="28"/>
                <w:shd w:val="clear" w:color="auto" w:fill="FFFFFF"/>
                <w:lang w:bidi="ar"/>
              </w:rPr>
            </w:pPr>
            <w:r>
              <w:rPr>
                <w:rFonts w:hint="eastAsia" w:ascii="仿宋_GB2312" w:hAnsi="仿宋_GB2312" w:eastAsia="仿宋_GB2312" w:cs="仿宋_GB2312"/>
                <w:bCs/>
                <w:color w:val="000000"/>
                <w:kern w:val="0"/>
                <w:sz w:val="28"/>
                <w:szCs w:val="28"/>
                <w:shd w:val="clear" w:color="auto" w:fill="FFFFFF"/>
                <w:lang w:bidi="ar"/>
              </w:rPr>
              <w:t>0-100</w:t>
            </w:r>
          </w:p>
        </w:tc>
      </w:tr>
      <w:tr w14:paraId="5B20F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tcPr>
          <w:p w14:paraId="17A01BD5">
            <w:pPr>
              <w:keepNext w:val="0"/>
              <w:keepLines w:val="0"/>
              <w:widowControl/>
              <w:suppressLineNumbers w:val="0"/>
              <w:spacing w:before="0" w:beforeAutospacing="0" w:after="0" w:afterAutospacing="0" w:line="240" w:lineRule="auto"/>
              <w:ind w:left="0" w:right="0" w:firstLine="0" w:firstLineChars="0"/>
              <w:jc w:val="left"/>
              <w:rPr>
                <w:rFonts w:hint="default" w:ascii="宋体" w:hAnsi="宋体" w:eastAsia="宋体" w:cs="宋体"/>
                <w:bCs/>
                <w:color w:val="000000"/>
                <w:kern w:val="0"/>
                <w:sz w:val="30"/>
                <w:szCs w:val="30"/>
                <w:shd w:val="clear" w:color="auto" w:fill="FFFFFF"/>
                <w:lang w:bidi="ar"/>
              </w:rPr>
            </w:pPr>
          </w:p>
        </w:tc>
        <w:tc>
          <w:tcPr>
            <w:tcW w:w="1809" w:type="dxa"/>
          </w:tcPr>
          <w:p w14:paraId="4C25E5A9">
            <w:pPr>
              <w:keepNext w:val="0"/>
              <w:keepLines w:val="0"/>
              <w:widowControl/>
              <w:suppressLineNumbers w:val="0"/>
              <w:spacing w:before="0" w:beforeAutospacing="0" w:after="0" w:afterAutospacing="0" w:line="240" w:lineRule="auto"/>
              <w:ind w:left="0" w:right="0" w:firstLine="0" w:firstLineChars="0"/>
              <w:jc w:val="left"/>
              <w:rPr>
                <w:rFonts w:hint="default" w:ascii="宋体" w:hAnsi="宋体" w:eastAsia="宋体" w:cs="宋体"/>
                <w:bCs/>
                <w:color w:val="000000"/>
                <w:kern w:val="0"/>
                <w:sz w:val="30"/>
                <w:szCs w:val="30"/>
                <w:shd w:val="clear" w:color="auto" w:fill="FFFFFF"/>
                <w:lang w:bidi="ar"/>
              </w:rPr>
            </w:pPr>
          </w:p>
        </w:tc>
        <w:tc>
          <w:tcPr>
            <w:tcW w:w="1739" w:type="dxa"/>
          </w:tcPr>
          <w:p w14:paraId="2F3EB719">
            <w:pPr>
              <w:keepNext w:val="0"/>
              <w:keepLines w:val="0"/>
              <w:widowControl/>
              <w:suppressLineNumbers w:val="0"/>
              <w:spacing w:before="0" w:beforeAutospacing="0" w:after="0" w:afterAutospacing="0" w:line="240" w:lineRule="auto"/>
              <w:ind w:left="0" w:right="0" w:firstLine="0" w:firstLineChars="0"/>
              <w:jc w:val="left"/>
              <w:rPr>
                <w:rFonts w:hint="default" w:ascii="宋体" w:hAnsi="宋体" w:eastAsia="宋体" w:cs="宋体"/>
                <w:bCs/>
                <w:color w:val="000000"/>
                <w:kern w:val="0"/>
                <w:sz w:val="30"/>
                <w:szCs w:val="30"/>
                <w:shd w:val="clear" w:color="auto" w:fill="FFFFFF"/>
                <w:lang w:bidi="ar"/>
              </w:rPr>
            </w:pPr>
          </w:p>
        </w:tc>
        <w:tc>
          <w:tcPr>
            <w:tcW w:w="1980" w:type="dxa"/>
          </w:tcPr>
          <w:p w14:paraId="3582BC91">
            <w:pPr>
              <w:keepNext w:val="0"/>
              <w:keepLines w:val="0"/>
              <w:widowControl/>
              <w:suppressLineNumbers w:val="0"/>
              <w:spacing w:before="0" w:beforeAutospacing="0" w:after="0" w:afterAutospacing="0" w:line="240" w:lineRule="auto"/>
              <w:ind w:left="0" w:right="0" w:firstLine="0" w:firstLineChars="0"/>
              <w:jc w:val="left"/>
              <w:rPr>
                <w:rFonts w:hint="default" w:ascii="宋体" w:hAnsi="宋体" w:eastAsia="宋体" w:cs="宋体"/>
                <w:bCs/>
                <w:color w:val="000000"/>
                <w:kern w:val="0"/>
                <w:sz w:val="30"/>
                <w:szCs w:val="30"/>
                <w:shd w:val="clear" w:color="auto" w:fill="FFFFFF"/>
                <w:lang w:bidi="ar"/>
              </w:rPr>
            </w:pPr>
          </w:p>
        </w:tc>
        <w:tc>
          <w:tcPr>
            <w:tcW w:w="1668" w:type="dxa"/>
          </w:tcPr>
          <w:p w14:paraId="1708B4B4">
            <w:pPr>
              <w:keepNext w:val="0"/>
              <w:keepLines w:val="0"/>
              <w:widowControl/>
              <w:suppressLineNumbers w:val="0"/>
              <w:spacing w:before="0" w:beforeAutospacing="0" w:after="0" w:afterAutospacing="0" w:line="240" w:lineRule="auto"/>
              <w:ind w:left="0" w:right="0" w:firstLine="0" w:firstLineChars="0"/>
              <w:jc w:val="left"/>
              <w:rPr>
                <w:rFonts w:hint="default" w:ascii="宋体" w:hAnsi="宋体" w:eastAsia="宋体" w:cs="宋体"/>
                <w:bCs/>
                <w:color w:val="000000"/>
                <w:kern w:val="0"/>
                <w:sz w:val="30"/>
                <w:szCs w:val="30"/>
                <w:shd w:val="clear" w:color="auto" w:fill="FFFFFF"/>
                <w:lang w:bidi="ar"/>
              </w:rPr>
            </w:pPr>
          </w:p>
        </w:tc>
        <w:tc>
          <w:tcPr>
            <w:tcW w:w="1722" w:type="dxa"/>
          </w:tcPr>
          <w:p w14:paraId="2F0DAF3F">
            <w:pPr>
              <w:keepNext w:val="0"/>
              <w:keepLines w:val="0"/>
              <w:widowControl/>
              <w:suppressLineNumbers w:val="0"/>
              <w:spacing w:before="0" w:beforeAutospacing="0" w:after="0" w:afterAutospacing="0" w:line="240" w:lineRule="auto"/>
              <w:ind w:left="0" w:right="0" w:firstLine="0" w:firstLineChars="0"/>
              <w:jc w:val="left"/>
              <w:rPr>
                <w:rFonts w:hint="default" w:ascii="宋体" w:hAnsi="宋体" w:eastAsia="宋体" w:cs="宋体"/>
                <w:bCs/>
                <w:color w:val="000000"/>
                <w:kern w:val="0"/>
                <w:sz w:val="30"/>
                <w:szCs w:val="30"/>
                <w:shd w:val="clear" w:color="auto" w:fill="FFFFFF"/>
                <w:lang w:bidi="ar"/>
              </w:rPr>
            </w:pPr>
          </w:p>
        </w:tc>
        <w:tc>
          <w:tcPr>
            <w:tcW w:w="1722" w:type="dxa"/>
          </w:tcPr>
          <w:p w14:paraId="0CD592A6">
            <w:pPr>
              <w:keepNext w:val="0"/>
              <w:keepLines w:val="0"/>
              <w:widowControl/>
              <w:suppressLineNumbers w:val="0"/>
              <w:spacing w:before="0" w:beforeAutospacing="0" w:after="0" w:afterAutospacing="0" w:line="240" w:lineRule="auto"/>
              <w:ind w:left="0" w:right="0" w:firstLine="0" w:firstLineChars="0"/>
              <w:jc w:val="left"/>
              <w:rPr>
                <w:rFonts w:hint="default" w:ascii="宋体" w:hAnsi="宋体" w:eastAsia="宋体" w:cs="宋体"/>
                <w:bCs/>
                <w:color w:val="000000"/>
                <w:kern w:val="0"/>
                <w:sz w:val="30"/>
                <w:szCs w:val="30"/>
                <w:shd w:val="clear" w:color="auto" w:fill="FFFFFF"/>
                <w:lang w:bidi="ar"/>
              </w:rPr>
            </w:pPr>
          </w:p>
        </w:tc>
        <w:tc>
          <w:tcPr>
            <w:tcW w:w="1722" w:type="dxa"/>
          </w:tcPr>
          <w:p w14:paraId="728D45CC">
            <w:pPr>
              <w:keepNext w:val="0"/>
              <w:keepLines w:val="0"/>
              <w:widowControl/>
              <w:suppressLineNumbers w:val="0"/>
              <w:spacing w:before="0" w:beforeAutospacing="0" w:after="0" w:afterAutospacing="0" w:line="240" w:lineRule="auto"/>
              <w:ind w:left="0" w:right="0" w:firstLine="0" w:firstLineChars="0"/>
              <w:jc w:val="left"/>
              <w:rPr>
                <w:rFonts w:hint="default" w:ascii="宋体" w:hAnsi="宋体" w:eastAsia="宋体" w:cs="宋体"/>
                <w:bCs/>
                <w:color w:val="000000"/>
                <w:kern w:val="0"/>
                <w:sz w:val="30"/>
                <w:szCs w:val="30"/>
                <w:shd w:val="clear" w:color="auto" w:fill="FFFFFF"/>
                <w:lang w:bidi="ar"/>
              </w:rPr>
            </w:pPr>
          </w:p>
        </w:tc>
      </w:tr>
      <w:tr w14:paraId="10279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tcPr>
          <w:p w14:paraId="4DD73BB1">
            <w:pPr>
              <w:keepNext w:val="0"/>
              <w:keepLines w:val="0"/>
              <w:widowControl/>
              <w:suppressLineNumbers w:val="0"/>
              <w:spacing w:before="0" w:beforeAutospacing="0" w:after="0" w:afterAutospacing="0" w:line="240" w:lineRule="auto"/>
              <w:ind w:left="0" w:right="0" w:firstLine="0" w:firstLineChars="0"/>
              <w:jc w:val="left"/>
              <w:rPr>
                <w:rFonts w:hint="default" w:ascii="宋体" w:hAnsi="宋体" w:eastAsia="宋体" w:cs="宋体"/>
                <w:bCs/>
                <w:color w:val="000000"/>
                <w:kern w:val="0"/>
                <w:sz w:val="30"/>
                <w:szCs w:val="30"/>
                <w:shd w:val="clear" w:color="auto" w:fill="FFFFFF"/>
                <w:lang w:bidi="ar"/>
              </w:rPr>
            </w:pPr>
          </w:p>
        </w:tc>
        <w:tc>
          <w:tcPr>
            <w:tcW w:w="1809" w:type="dxa"/>
          </w:tcPr>
          <w:p w14:paraId="38DCF687">
            <w:pPr>
              <w:keepNext w:val="0"/>
              <w:keepLines w:val="0"/>
              <w:widowControl/>
              <w:suppressLineNumbers w:val="0"/>
              <w:spacing w:before="0" w:beforeAutospacing="0" w:after="0" w:afterAutospacing="0" w:line="240" w:lineRule="auto"/>
              <w:ind w:left="0" w:right="0" w:firstLine="0" w:firstLineChars="0"/>
              <w:jc w:val="left"/>
              <w:rPr>
                <w:rFonts w:hint="default" w:ascii="宋体" w:hAnsi="宋体" w:eastAsia="宋体" w:cs="宋体"/>
                <w:bCs/>
                <w:color w:val="000000"/>
                <w:kern w:val="0"/>
                <w:sz w:val="30"/>
                <w:szCs w:val="30"/>
                <w:shd w:val="clear" w:color="auto" w:fill="FFFFFF"/>
                <w:lang w:bidi="ar"/>
              </w:rPr>
            </w:pPr>
          </w:p>
        </w:tc>
        <w:tc>
          <w:tcPr>
            <w:tcW w:w="1739" w:type="dxa"/>
          </w:tcPr>
          <w:p w14:paraId="75BE62F4">
            <w:pPr>
              <w:keepNext w:val="0"/>
              <w:keepLines w:val="0"/>
              <w:widowControl/>
              <w:suppressLineNumbers w:val="0"/>
              <w:spacing w:before="0" w:beforeAutospacing="0" w:after="0" w:afterAutospacing="0" w:line="240" w:lineRule="auto"/>
              <w:ind w:left="0" w:right="0" w:firstLine="0" w:firstLineChars="0"/>
              <w:jc w:val="left"/>
              <w:rPr>
                <w:rFonts w:hint="default" w:ascii="宋体" w:hAnsi="宋体" w:eastAsia="宋体" w:cs="宋体"/>
                <w:bCs/>
                <w:color w:val="000000"/>
                <w:kern w:val="0"/>
                <w:sz w:val="30"/>
                <w:szCs w:val="30"/>
                <w:shd w:val="clear" w:color="auto" w:fill="FFFFFF"/>
                <w:lang w:bidi="ar"/>
              </w:rPr>
            </w:pPr>
          </w:p>
        </w:tc>
        <w:tc>
          <w:tcPr>
            <w:tcW w:w="1980" w:type="dxa"/>
          </w:tcPr>
          <w:p w14:paraId="65378D7A">
            <w:pPr>
              <w:keepNext w:val="0"/>
              <w:keepLines w:val="0"/>
              <w:widowControl/>
              <w:suppressLineNumbers w:val="0"/>
              <w:spacing w:before="0" w:beforeAutospacing="0" w:after="0" w:afterAutospacing="0" w:line="240" w:lineRule="auto"/>
              <w:ind w:left="0" w:right="0" w:firstLine="0" w:firstLineChars="0"/>
              <w:jc w:val="left"/>
              <w:rPr>
                <w:rFonts w:hint="default" w:ascii="宋体" w:hAnsi="宋体" w:eastAsia="宋体" w:cs="宋体"/>
                <w:bCs/>
                <w:color w:val="000000"/>
                <w:kern w:val="0"/>
                <w:sz w:val="30"/>
                <w:szCs w:val="30"/>
                <w:shd w:val="clear" w:color="auto" w:fill="FFFFFF"/>
                <w:lang w:bidi="ar"/>
              </w:rPr>
            </w:pPr>
          </w:p>
        </w:tc>
        <w:tc>
          <w:tcPr>
            <w:tcW w:w="1668" w:type="dxa"/>
          </w:tcPr>
          <w:p w14:paraId="53DED80B">
            <w:pPr>
              <w:keepNext w:val="0"/>
              <w:keepLines w:val="0"/>
              <w:widowControl/>
              <w:suppressLineNumbers w:val="0"/>
              <w:spacing w:before="0" w:beforeAutospacing="0" w:after="0" w:afterAutospacing="0" w:line="240" w:lineRule="auto"/>
              <w:ind w:left="0" w:right="0" w:firstLine="0" w:firstLineChars="0"/>
              <w:jc w:val="left"/>
              <w:rPr>
                <w:rFonts w:hint="default" w:ascii="宋体" w:hAnsi="宋体" w:eastAsia="宋体" w:cs="宋体"/>
                <w:bCs/>
                <w:color w:val="000000"/>
                <w:kern w:val="0"/>
                <w:sz w:val="30"/>
                <w:szCs w:val="30"/>
                <w:shd w:val="clear" w:color="auto" w:fill="FFFFFF"/>
                <w:lang w:bidi="ar"/>
              </w:rPr>
            </w:pPr>
          </w:p>
        </w:tc>
        <w:tc>
          <w:tcPr>
            <w:tcW w:w="1722" w:type="dxa"/>
          </w:tcPr>
          <w:p w14:paraId="16E1FF78">
            <w:pPr>
              <w:keepNext w:val="0"/>
              <w:keepLines w:val="0"/>
              <w:widowControl/>
              <w:suppressLineNumbers w:val="0"/>
              <w:spacing w:before="0" w:beforeAutospacing="0" w:after="0" w:afterAutospacing="0" w:line="240" w:lineRule="auto"/>
              <w:ind w:left="0" w:right="0" w:firstLine="0" w:firstLineChars="0"/>
              <w:jc w:val="left"/>
              <w:rPr>
                <w:rFonts w:hint="default" w:ascii="宋体" w:hAnsi="宋体" w:eastAsia="宋体" w:cs="宋体"/>
                <w:bCs/>
                <w:color w:val="000000"/>
                <w:kern w:val="0"/>
                <w:sz w:val="30"/>
                <w:szCs w:val="30"/>
                <w:shd w:val="clear" w:color="auto" w:fill="FFFFFF"/>
                <w:lang w:bidi="ar"/>
              </w:rPr>
            </w:pPr>
          </w:p>
        </w:tc>
        <w:tc>
          <w:tcPr>
            <w:tcW w:w="1722" w:type="dxa"/>
          </w:tcPr>
          <w:p w14:paraId="48D6D80E">
            <w:pPr>
              <w:keepNext w:val="0"/>
              <w:keepLines w:val="0"/>
              <w:widowControl/>
              <w:suppressLineNumbers w:val="0"/>
              <w:spacing w:before="0" w:beforeAutospacing="0" w:after="0" w:afterAutospacing="0" w:line="240" w:lineRule="auto"/>
              <w:ind w:left="0" w:right="0" w:firstLine="0" w:firstLineChars="0"/>
              <w:jc w:val="left"/>
              <w:rPr>
                <w:rFonts w:hint="default" w:ascii="宋体" w:hAnsi="宋体" w:eastAsia="宋体" w:cs="宋体"/>
                <w:bCs/>
                <w:color w:val="000000"/>
                <w:kern w:val="0"/>
                <w:sz w:val="30"/>
                <w:szCs w:val="30"/>
                <w:shd w:val="clear" w:color="auto" w:fill="FFFFFF"/>
                <w:lang w:bidi="ar"/>
              </w:rPr>
            </w:pPr>
          </w:p>
        </w:tc>
        <w:tc>
          <w:tcPr>
            <w:tcW w:w="1722" w:type="dxa"/>
          </w:tcPr>
          <w:p w14:paraId="21F0DE5F">
            <w:pPr>
              <w:keepNext w:val="0"/>
              <w:keepLines w:val="0"/>
              <w:widowControl/>
              <w:suppressLineNumbers w:val="0"/>
              <w:spacing w:before="0" w:beforeAutospacing="0" w:after="0" w:afterAutospacing="0" w:line="240" w:lineRule="auto"/>
              <w:ind w:left="0" w:right="0" w:firstLine="0" w:firstLineChars="0"/>
              <w:jc w:val="left"/>
              <w:rPr>
                <w:rFonts w:hint="default" w:ascii="宋体" w:hAnsi="宋体" w:eastAsia="宋体" w:cs="宋体"/>
                <w:bCs/>
                <w:color w:val="000000"/>
                <w:kern w:val="0"/>
                <w:sz w:val="30"/>
                <w:szCs w:val="30"/>
                <w:shd w:val="clear" w:color="auto" w:fill="FFFFFF"/>
                <w:lang w:bidi="ar"/>
              </w:rPr>
            </w:pPr>
          </w:p>
        </w:tc>
      </w:tr>
      <w:tr w14:paraId="5EF8D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tcPr>
          <w:p w14:paraId="3019297D">
            <w:pPr>
              <w:keepNext w:val="0"/>
              <w:keepLines w:val="0"/>
              <w:widowControl/>
              <w:suppressLineNumbers w:val="0"/>
              <w:spacing w:before="0" w:beforeAutospacing="0" w:after="0" w:afterAutospacing="0" w:line="240" w:lineRule="auto"/>
              <w:ind w:left="0" w:right="0" w:firstLine="0" w:firstLineChars="0"/>
              <w:jc w:val="left"/>
              <w:rPr>
                <w:rFonts w:hint="default" w:ascii="宋体" w:hAnsi="宋体" w:eastAsia="宋体" w:cs="宋体"/>
                <w:bCs/>
                <w:color w:val="000000"/>
                <w:kern w:val="0"/>
                <w:sz w:val="30"/>
                <w:szCs w:val="30"/>
                <w:shd w:val="clear" w:color="auto" w:fill="FFFFFF"/>
                <w:lang w:bidi="ar"/>
              </w:rPr>
            </w:pPr>
          </w:p>
        </w:tc>
        <w:tc>
          <w:tcPr>
            <w:tcW w:w="1809" w:type="dxa"/>
          </w:tcPr>
          <w:p w14:paraId="00373351">
            <w:pPr>
              <w:keepNext w:val="0"/>
              <w:keepLines w:val="0"/>
              <w:widowControl/>
              <w:suppressLineNumbers w:val="0"/>
              <w:spacing w:before="0" w:beforeAutospacing="0" w:after="0" w:afterAutospacing="0" w:line="240" w:lineRule="auto"/>
              <w:ind w:left="0" w:right="0" w:firstLine="0" w:firstLineChars="0"/>
              <w:jc w:val="left"/>
              <w:rPr>
                <w:rFonts w:hint="default" w:ascii="宋体" w:hAnsi="宋体" w:eastAsia="宋体" w:cs="宋体"/>
                <w:bCs/>
                <w:color w:val="000000"/>
                <w:kern w:val="0"/>
                <w:sz w:val="30"/>
                <w:szCs w:val="30"/>
                <w:shd w:val="clear" w:color="auto" w:fill="FFFFFF"/>
                <w:lang w:bidi="ar"/>
              </w:rPr>
            </w:pPr>
          </w:p>
        </w:tc>
        <w:tc>
          <w:tcPr>
            <w:tcW w:w="1739" w:type="dxa"/>
          </w:tcPr>
          <w:p w14:paraId="78E0055E">
            <w:pPr>
              <w:keepNext w:val="0"/>
              <w:keepLines w:val="0"/>
              <w:widowControl/>
              <w:suppressLineNumbers w:val="0"/>
              <w:spacing w:before="0" w:beforeAutospacing="0" w:after="0" w:afterAutospacing="0" w:line="240" w:lineRule="auto"/>
              <w:ind w:left="0" w:right="0" w:firstLine="0" w:firstLineChars="0"/>
              <w:jc w:val="left"/>
              <w:rPr>
                <w:rFonts w:hint="default" w:ascii="宋体" w:hAnsi="宋体" w:eastAsia="宋体" w:cs="宋体"/>
                <w:bCs/>
                <w:color w:val="000000"/>
                <w:kern w:val="0"/>
                <w:sz w:val="30"/>
                <w:szCs w:val="30"/>
                <w:shd w:val="clear" w:color="auto" w:fill="FFFFFF"/>
                <w:lang w:bidi="ar"/>
              </w:rPr>
            </w:pPr>
          </w:p>
        </w:tc>
        <w:tc>
          <w:tcPr>
            <w:tcW w:w="1980" w:type="dxa"/>
          </w:tcPr>
          <w:p w14:paraId="0D43B9B3">
            <w:pPr>
              <w:keepNext w:val="0"/>
              <w:keepLines w:val="0"/>
              <w:widowControl/>
              <w:suppressLineNumbers w:val="0"/>
              <w:spacing w:before="0" w:beforeAutospacing="0" w:after="0" w:afterAutospacing="0" w:line="240" w:lineRule="auto"/>
              <w:ind w:left="0" w:right="0" w:firstLine="0" w:firstLineChars="0"/>
              <w:jc w:val="left"/>
              <w:rPr>
                <w:rFonts w:hint="default" w:ascii="宋体" w:hAnsi="宋体" w:eastAsia="宋体" w:cs="宋体"/>
                <w:bCs/>
                <w:color w:val="000000"/>
                <w:kern w:val="0"/>
                <w:sz w:val="30"/>
                <w:szCs w:val="30"/>
                <w:shd w:val="clear" w:color="auto" w:fill="FFFFFF"/>
                <w:lang w:bidi="ar"/>
              </w:rPr>
            </w:pPr>
          </w:p>
        </w:tc>
        <w:tc>
          <w:tcPr>
            <w:tcW w:w="1668" w:type="dxa"/>
          </w:tcPr>
          <w:p w14:paraId="747BF5D8">
            <w:pPr>
              <w:keepNext w:val="0"/>
              <w:keepLines w:val="0"/>
              <w:widowControl/>
              <w:suppressLineNumbers w:val="0"/>
              <w:spacing w:before="0" w:beforeAutospacing="0" w:after="0" w:afterAutospacing="0" w:line="240" w:lineRule="auto"/>
              <w:ind w:left="0" w:right="0" w:firstLine="0" w:firstLineChars="0"/>
              <w:jc w:val="left"/>
              <w:rPr>
                <w:rFonts w:hint="default" w:ascii="宋体" w:hAnsi="宋体" w:eastAsia="宋体" w:cs="宋体"/>
                <w:bCs/>
                <w:color w:val="000000"/>
                <w:kern w:val="0"/>
                <w:sz w:val="30"/>
                <w:szCs w:val="30"/>
                <w:shd w:val="clear" w:color="auto" w:fill="FFFFFF"/>
                <w:lang w:bidi="ar"/>
              </w:rPr>
            </w:pPr>
          </w:p>
        </w:tc>
        <w:tc>
          <w:tcPr>
            <w:tcW w:w="1722" w:type="dxa"/>
          </w:tcPr>
          <w:p w14:paraId="186CC96E">
            <w:pPr>
              <w:keepNext w:val="0"/>
              <w:keepLines w:val="0"/>
              <w:widowControl/>
              <w:suppressLineNumbers w:val="0"/>
              <w:spacing w:before="0" w:beforeAutospacing="0" w:after="0" w:afterAutospacing="0" w:line="240" w:lineRule="auto"/>
              <w:ind w:left="0" w:right="0" w:firstLine="0" w:firstLineChars="0"/>
              <w:jc w:val="left"/>
              <w:rPr>
                <w:rFonts w:hint="default" w:ascii="宋体" w:hAnsi="宋体" w:eastAsia="宋体" w:cs="宋体"/>
                <w:bCs/>
                <w:color w:val="000000"/>
                <w:kern w:val="0"/>
                <w:sz w:val="30"/>
                <w:szCs w:val="30"/>
                <w:shd w:val="clear" w:color="auto" w:fill="FFFFFF"/>
                <w:lang w:bidi="ar"/>
              </w:rPr>
            </w:pPr>
          </w:p>
        </w:tc>
        <w:tc>
          <w:tcPr>
            <w:tcW w:w="1722" w:type="dxa"/>
          </w:tcPr>
          <w:p w14:paraId="02969C40">
            <w:pPr>
              <w:keepNext w:val="0"/>
              <w:keepLines w:val="0"/>
              <w:widowControl/>
              <w:suppressLineNumbers w:val="0"/>
              <w:spacing w:before="0" w:beforeAutospacing="0" w:after="0" w:afterAutospacing="0" w:line="240" w:lineRule="auto"/>
              <w:ind w:left="0" w:right="0" w:firstLine="0" w:firstLineChars="0"/>
              <w:jc w:val="left"/>
              <w:rPr>
                <w:rFonts w:hint="default" w:ascii="宋体" w:hAnsi="宋体" w:eastAsia="宋体" w:cs="宋体"/>
                <w:bCs/>
                <w:color w:val="000000"/>
                <w:kern w:val="0"/>
                <w:sz w:val="30"/>
                <w:szCs w:val="30"/>
                <w:shd w:val="clear" w:color="auto" w:fill="FFFFFF"/>
                <w:lang w:bidi="ar"/>
              </w:rPr>
            </w:pPr>
          </w:p>
        </w:tc>
        <w:tc>
          <w:tcPr>
            <w:tcW w:w="1722" w:type="dxa"/>
          </w:tcPr>
          <w:p w14:paraId="64598C5C">
            <w:pPr>
              <w:keepNext w:val="0"/>
              <w:keepLines w:val="0"/>
              <w:widowControl/>
              <w:suppressLineNumbers w:val="0"/>
              <w:spacing w:before="0" w:beforeAutospacing="0" w:after="0" w:afterAutospacing="0" w:line="240" w:lineRule="auto"/>
              <w:ind w:left="0" w:right="0" w:firstLine="0" w:firstLineChars="0"/>
              <w:jc w:val="left"/>
              <w:rPr>
                <w:rFonts w:hint="default" w:ascii="宋体" w:hAnsi="宋体" w:eastAsia="宋体" w:cs="宋体"/>
                <w:bCs/>
                <w:color w:val="000000"/>
                <w:kern w:val="0"/>
                <w:sz w:val="30"/>
                <w:szCs w:val="30"/>
                <w:shd w:val="clear" w:color="auto" w:fill="FFFFFF"/>
                <w:lang w:bidi="ar"/>
              </w:rPr>
            </w:pPr>
          </w:p>
        </w:tc>
      </w:tr>
      <w:tr w14:paraId="251DE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1" w:type="dxa"/>
            <w:gridSpan w:val="8"/>
          </w:tcPr>
          <w:p w14:paraId="4A3DA88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560" w:firstLineChars="200"/>
              <w:jc w:val="left"/>
              <w:textAlignment w:val="auto"/>
              <w:rPr>
                <w:rFonts w:hint="eastAsia" w:ascii="仿宋_GB2312" w:hAnsi="仿宋_GB2312" w:eastAsia="仿宋_GB2312" w:cs="仿宋_GB2312"/>
                <w:bCs/>
                <w:color w:val="000000"/>
                <w:kern w:val="0"/>
                <w:sz w:val="28"/>
                <w:szCs w:val="28"/>
                <w:shd w:val="clear" w:color="auto" w:fill="FFFFFF"/>
                <w:lang w:bidi="ar"/>
              </w:rPr>
            </w:pPr>
            <w:r>
              <w:rPr>
                <w:rFonts w:hint="eastAsia" w:ascii="仿宋_GB2312" w:hAnsi="仿宋_GB2312" w:eastAsia="仿宋_GB2312" w:cs="仿宋_GB2312"/>
                <w:bCs/>
                <w:color w:val="000000"/>
                <w:kern w:val="0"/>
                <w:sz w:val="28"/>
                <w:szCs w:val="28"/>
                <w:shd w:val="clear" w:color="auto" w:fill="FFFFFF"/>
                <w:lang w:bidi="ar"/>
              </w:rPr>
              <w:t>意见说明：</w:t>
            </w:r>
          </w:p>
          <w:p w14:paraId="2C8FD271">
            <w:pPr>
              <w:pStyle w:val="7"/>
              <w:keepNext w:val="0"/>
              <w:keepLines w:val="0"/>
              <w:pageBreakBefore w:val="0"/>
              <w:widowControl/>
              <w:numPr>
                <w:ilvl w:val="-1"/>
                <w:numId w:val="0"/>
              </w:numPr>
              <w:suppressLineNumbers w:val="0"/>
              <w:kinsoku/>
              <w:wordWrap/>
              <w:overflowPunct/>
              <w:topLinePunct w:val="0"/>
              <w:autoSpaceDE/>
              <w:autoSpaceDN/>
              <w:bidi w:val="0"/>
              <w:adjustRightInd/>
              <w:snapToGrid/>
              <w:spacing w:before="0" w:beforeAutospacing="0" w:after="0" w:afterAutospacing="0" w:line="560" w:lineRule="exact"/>
              <w:ind w:left="560" w:leftChars="200" w:right="0" w:firstLine="0" w:firstLineChars="0"/>
              <w:jc w:val="left"/>
              <w:textAlignment w:val="auto"/>
              <w:rPr>
                <w:rFonts w:hint="eastAsia" w:ascii="仿宋_GB2312" w:hAnsi="仿宋_GB2312" w:eastAsia="仿宋_GB2312" w:cs="仿宋_GB2312"/>
                <w:bCs/>
                <w:color w:val="000000"/>
                <w:kern w:val="0"/>
                <w:sz w:val="28"/>
                <w:szCs w:val="28"/>
                <w:shd w:val="clear" w:color="auto" w:fill="FFFFFF"/>
                <w:lang w:bidi="ar"/>
              </w:rPr>
            </w:pPr>
            <w:r>
              <w:rPr>
                <w:rFonts w:hint="eastAsia" w:ascii="仿宋_GB2312" w:hAnsi="仿宋_GB2312" w:eastAsia="仿宋_GB2312" w:cs="仿宋_GB2312"/>
                <w:bCs/>
                <w:color w:val="000000"/>
                <w:kern w:val="0"/>
                <w:sz w:val="28"/>
                <w:szCs w:val="28"/>
                <w:shd w:val="clear" w:color="auto" w:fill="FFFFFF"/>
                <w:lang w:val="en-US" w:eastAsia="zh-CN" w:bidi="ar"/>
              </w:rPr>
              <w:t>1、</w:t>
            </w:r>
            <w:r>
              <w:rPr>
                <w:rFonts w:hint="eastAsia" w:ascii="仿宋_GB2312" w:hAnsi="仿宋_GB2312" w:eastAsia="仿宋_GB2312" w:cs="仿宋_GB2312"/>
                <w:bCs/>
                <w:color w:val="000000"/>
                <w:kern w:val="0"/>
                <w:sz w:val="28"/>
                <w:szCs w:val="28"/>
                <w:shd w:val="clear" w:color="auto" w:fill="FFFFFF"/>
                <w:lang w:bidi="ar"/>
              </w:rPr>
              <w:t>价格（可附报价表）：</w:t>
            </w:r>
          </w:p>
          <w:p w14:paraId="0093DFA2">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560" w:firstLineChars="200"/>
              <w:jc w:val="left"/>
              <w:textAlignment w:val="auto"/>
              <w:rPr>
                <w:rFonts w:hint="eastAsia" w:ascii="仿宋_GB2312" w:hAnsi="仿宋_GB2312" w:eastAsia="仿宋_GB2312" w:cs="仿宋_GB2312"/>
                <w:bCs/>
                <w:color w:val="000000"/>
                <w:kern w:val="0"/>
                <w:sz w:val="28"/>
                <w:szCs w:val="28"/>
                <w:shd w:val="clear" w:color="auto" w:fill="FFFFFF"/>
                <w:lang w:val="en-US" w:eastAsia="zh-CN" w:bidi="ar"/>
              </w:rPr>
            </w:pPr>
            <w:r>
              <w:rPr>
                <w:rFonts w:hint="eastAsia" w:ascii="仿宋_GB2312" w:hAnsi="仿宋_GB2312" w:eastAsia="仿宋_GB2312" w:cs="仿宋_GB2312"/>
                <w:bCs/>
                <w:color w:val="000000"/>
                <w:kern w:val="0"/>
                <w:sz w:val="28"/>
                <w:szCs w:val="28"/>
                <w:shd w:val="clear" w:color="auto" w:fill="FFFFFF"/>
                <w:lang w:val="en-US" w:eastAsia="zh-CN" w:bidi="ar"/>
              </w:rPr>
              <w:t>满分25分，报价最低得满分，其余报价按照最低报价涨幅百分比扣分。如报价比最低价高20%，则得分为25*（100%-20%）=20分。</w:t>
            </w:r>
          </w:p>
          <w:p w14:paraId="76DA201D">
            <w:pPr>
              <w:pStyle w:val="7"/>
              <w:keepNext w:val="0"/>
              <w:keepLines w:val="0"/>
              <w:pageBreakBefore w:val="0"/>
              <w:widowControl/>
              <w:numPr>
                <w:ilvl w:val="-1"/>
                <w:numId w:val="0"/>
              </w:numPr>
              <w:suppressLineNumbers w:val="0"/>
              <w:kinsoku/>
              <w:wordWrap/>
              <w:overflowPunct/>
              <w:topLinePunct w:val="0"/>
              <w:autoSpaceDE/>
              <w:autoSpaceDN/>
              <w:bidi w:val="0"/>
              <w:adjustRightInd/>
              <w:snapToGrid/>
              <w:spacing w:before="0" w:beforeAutospacing="0" w:after="0" w:afterAutospacing="0" w:line="560" w:lineRule="exact"/>
              <w:ind w:left="560" w:leftChars="200" w:right="0" w:firstLine="0" w:firstLineChars="0"/>
              <w:jc w:val="left"/>
              <w:textAlignment w:val="auto"/>
              <w:rPr>
                <w:rFonts w:hint="eastAsia" w:ascii="仿宋_GB2312" w:hAnsi="仿宋_GB2312" w:eastAsia="仿宋_GB2312" w:cs="仿宋_GB2312"/>
                <w:bCs/>
                <w:color w:val="000000"/>
                <w:kern w:val="0"/>
                <w:sz w:val="28"/>
                <w:szCs w:val="28"/>
                <w:shd w:val="clear" w:color="auto" w:fill="FFFFFF"/>
                <w:lang w:bidi="ar"/>
              </w:rPr>
            </w:pPr>
            <w:r>
              <w:rPr>
                <w:rFonts w:hint="eastAsia" w:ascii="仿宋_GB2312" w:hAnsi="仿宋_GB2312" w:eastAsia="仿宋_GB2312" w:cs="仿宋_GB2312"/>
                <w:bCs/>
                <w:color w:val="000000"/>
                <w:kern w:val="0"/>
                <w:sz w:val="28"/>
                <w:szCs w:val="28"/>
                <w:shd w:val="clear" w:color="auto" w:fill="FFFFFF"/>
                <w:lang w:val="en-US" w:eastAsia="zh-CN" w:bidi="ar"/>
              </w:rPr>
              <w:t>2、</w:t>
            </w:r>
            <w:r>
              <w:rPr>
                <w:rFonts w:hint="eastAsia" w:ascii="仿宋_GB2312" w:hAnsi="仿宋_GB2312" w:eastAsia="仿宋_GB2312" w:cs="仿宋_GB2312"/>
                <w:bCs/>
                <w:color w:val="000000"/>
                <w:kern w:val="0"/>
                <w:sz w:val="28"/>
                <w:szCs w:val="28"/>
                <w:shd w:val="clear" w:color="auto" w:fill="FFFFFF"/>
                <w:lang w:bidi="ar"/>
              </w:rPr>
              <w:t>供应能力（参见供应商采集信息）：</w:t>
            </w:r>
          </w:p>
          <w:p w14:paraId="4B123C5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leftChars="0" w:right="0" w:firstLine="560" w:firstLineChars="200"/>
              <w:jc w:val="left"/>
              <w:textAlignment w:val="auto"/>
              <w:rPr>
                <w:rFonts w:hint="eastAsia" w:ascii="仿宋_GB2312" w:hAnsi="仿宋_GB2312" w:eastAsia="仿宋_GB2312" w:cs="仿宋_GB2312"/>
                <w:bCs/>
                <w:color w:val="000000"/>
                <w:kern w:val="0"/>
                <w:sz w:val="28"/>
                <w:szCs w:val="28"/>
                <w:shd w:val="clear" w:color="auto" w:fill="FFFFFF"/>
                <w:lang w:val="en-US" w:eastAsia="zh-CN" w:bidi="ar"/>
              </w:rPr>
            </w:pPr>
            <w:r>
              <w:rPr>
                <w:rFonts w:hint="eastAsia" w:ascii="仿宋_GB2312" w:hAnsi="仿宋_GB2312" w:eastAsia="仿宋_GB2312" w:cs="仿宋_GB2312"/>
                <w:bCs/>
                <w:color w:val="000000"/>
                <w:kern w:val="0"/>
                <w:sz w:val="28"/>
                <w:szCs w:val="28"/>
                <w:shd w:val="clear" w:color="auto" w:fill="FFFFFF"/>
                <w:lang w:val="en-US" w:eastAsia="zh-CN" w:bidi="ar"/>
              </w:rPr>
              <w:t>满分20分，现货库存能满足采购需求得满分；一周内通过生产、调货等方式完成备货得15分；备货时间超过1周的得10分。</w:t>
            </w:r>
          </w:p>
          <w:p w14:paraId="376AC564">
            <w:pPr>
              <w:pStyle w:val="7"/>
              <w:keepNext w:val="0"/>
              <w:keepLines w:val="0"/>
              <w:pageBreakBefore w:val="0"/>
              <w:widowControl/>
              <w:numPr>
                <w:ilvl w:val="-1"/>
                <w:numId w:val="0"/>
              </w:numPr>
              <w:suppressLineNumbers w:val="0"/>
              <w:kinsoku/>
              <w:wordWrap/>
              <w:overflowPunct/>
              <w:topLinePunct w:val="0"/>
              <w:autoSpaceDE/>
              <w:autoSpaceDN/>
              <w:bidi w:val="0"/>
              <w:adjustRightInd/>
              <w:snapToGrid/>
              <w:spacing w:before="0" w:beforeAutospacing="0" w:after="0" w:afterAutospacing="0" w:line="560" w:lineRule="exact"/>
              <w:ind w:left="560" w:leftChars="200" w:right="0" w:firstLine="0" w:firstLineChars="0"/>
              <w:jc w:val="left"/>
              <w:textAlignment w:val="auto"/>
              <w:rPr>
                <w:rFonts w:hint="eastAsia" w:ascii="仿宋_GB2312" w:hAnsi="仿宋_GB2312" w:eastAsia="仿宋_GB2312" w:cs="仿宋_GB2312"/>
                <w:bCs/>
                <w:color w:val="000000"/>
                <w:kern w:val="0"/>
                <w:sz w:val="28"/>
                <w:szCs w:val="28"/>
                <w:shd w:val="clear" w:color="auto" w:fill="FFFFFF"/>
                <w:lang w:bidi="ar"/>
              </w:rPr>
            </w:pPr>
            <w:r>
              <w:rPr>
                <w:rFonts w:hint="eastAsia" w:ascii="仿宋_GB2312" w:hAnsi="仿宋_GB2312" w:eastAsia="仿宋_GB2312" w:cs="仿宋_GB2312"/>
                <w:bCs/>
                <w:color w:val="000000"/>
                <w:kern w:val="0"/>
                <w:sz w:val="28"/>
                <w:szCs w:val="28"/>
                <w:shd w:val="clear" w:color="auto" w:fill="FFFFFF"/>
                <w:lang w:val="en-US" w:eastAsia="zh-CN" w:bidi="ar"/>
              </w:rPr>
              <w:t>3、</w:t>
            </w:r>
            <w:r>
              <w:rPr>
                <w:rFonts w:hint="eastAsia" w:ascii="仿宋_GB2312" w:hAnsi="仿宋_GB2312" w:eastAsia="仿宋_GB2312" w:cs="仿宋_GB2312"/>
                <w:bCs/>
                <w:color w:val="000000"/>
                <w:kern w:val="0"/>
                <w:sz w:val="28"/>
                <w:szCs w:val="28"/>
                <w:shd w:val="clear" w:color="auto" w:fill="FFFFFF"/>
                <w:lang w:bidi="ar"/>
              </w:rPr>
              <w:t>产品服务质量（已有供应商由基金会评价，新供应商可参考口碑）：</w:t>
            </w:r>
          </w:p>
          <w:p w14:paraId="60B35F1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560" w:firstLineChars="200"/>
              <w:jc w:val="left"/>
              <w:textAlignment w:val="auto"/>
              <w:rPr>
                <w:rFonts w:hint="eastAsia" w:ascii="仿宋_GB2312" w:hAnsi="仿宋_GB2312" w:eastAsia="仿宋_GB2312" w:cs="仿宋_GB2312"/>
                <w:bCs/>
                <w:color w:val="000000"/>
                <w:kern w:val="0"/>
                <w:sz w:val="28"/>
                <w:szCs w:val="28"/>
                <w:shd w:val="clear" w:color="auto" w:fill="FFFFFF"/>
                <w:lang w:val="en-US" w:eastAsia="zh-CN" w:bidi="ar"/>
              </w:rPr>
            </w:pPr>
            <w:r>
              <w:rPr>
                <w:rFonts w:hint="eastAsia" w:ascii="仿宋_GB2312" w:hAnsi="仿宋_GB2312" w:eastAsia="仿宋_GB2312" w:cs="仿宋_GB2312"/>
                <w:bCs/>
                <w:color w:val="000000"/>
                <w:kern w:val="0"/>
                <w:sz w:val="28"/>
                <w:szCs w:val="28"/>
                <w:shd w:val="clear" w:color="auto" w:fill="FFFFFF"/>
                <w:lang w:val="en-US" w:eastAsia="zh-CN" w:bidi="ar"/>
              </w:rPr>
              <w:t>满分20分，提供产品检验合格证、销售资质等相关凭证并参考货物网络销售口碑评价好评率得分；每缺失一个相关证件扣5分，扣分后X产品好评率为最终得分。</w:t>
            </w:r>
          </w:p>
          <w:p w14:paraId="7CCA1FC3">
            <w:pPr>
              <w:pStyle w:val="7"/>
              <w:keepNext w:val="0"/>
              <w:keepLines w:val="0"/>
              <w:pageBreakBefore w:val="0"/>
              <w:widowControl/>
              <w:numPr>
                <w:ilvl w:val="-1"/>
                <w:numId w:val="0"/>
              </w:numPr>
              <w:suppressLineNumbers w:val="0"/>
              <w:kinsoku/>
              <w:wordWrap/>
              <w:overflowPunct/>
              <w:topLinePunct w:val="0"/>
              <w:autoSpaceDE/>
              <w:autoSpaceDN/>
              <w:bidi w:val="0"/>
              <w:adjustRightInd/>
              <w:snapToGrid/>
              <w:spacing w:before="0" w:beforeAutospacing="0" w:after="0" w:afterAutospacing="0" w:line="560" w:lineRule="exact"/>
              <w:ind w:left="560" w:leftChars="200" w:right="0" w:firstLine="0" w:firstLineChars="0"/>
              <w:jc w:val="left"/>
              <w:textAlignment w:val="auto"/>
              <w:rPr>
                <w:rFonts w:hint="eastAsia" w:ascii="仿宋_GB2312" w:hAnsi="仿宋_GB2312" w:eastAsia="仿宋_GB2312" w:cs="仿宋_GB2312"/>
                <w:bCs/>
                <w:color w:val="000000"/>
                <w:kern w:val="0"/>
                <w:sz w:val="28"/>
                <w:szCs w:val="28"/>
                <w:shd w:val="clear" w:color="auto" w:fill="FFFFFF"/>
                <w:lang w:bidi="ar"/>
              </w:rPr>
            </w:pPr>
            <w:r>
              <w:rPr>
                <w:rFonts w:hint="eastAsia" w:ascii="仿宋_GB2312" w:hAnsi="仿宋_GB2312" w:eastAsia="仿宋_GB2312" w:cs="仿宋_GB2312"/>
                <w:bCs/>
                <w:color w:val="000000"/>
                <w:kern w:val="0"/>
                <w:sz w:val="28"/>
                <w:szCs w:val="28"/>
                <w:shd w:val="clear" w:color="auto" w:fill="FFFFFF"/>
                <w:lang w:val="en-US" w:eastAsia="zh-CN" w:bidi="ar"/>
              </w:rPr>
              <w:t>4、</w:t>
            </w:r>
            <w:r>
              <w:rPr>
                <w:rFonts w:hint="eastAsia" w:ascii="仿宋_GB2312" w:hAnsi="仿宋_GB2312" w:eastAsia="仿宋_GB2312" w:cs="仿宋_GB2312"/>
                <w:bCs/>
                <w:color w:val="000000"/>
                <w:kern w:val="0"/>
                <w:sz w:val="28"/>
                <w:szCs w:val="28"/>
                <w:shd w:val="clear" w:color="auto" w:fill="FFFFFF"/>
                <w:lang w:bidi="ar"/>
              </w:rPr>
              <w:t>交货（根据交付情况说明）：</w:t>
            </w:r>
          </w:p>
          <w:p w14:paraId="01DEC58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560" w:firstLineChars="200"/>
              <w:jc w:val="left"/>
              <w:textAlignment w:val="auto"/>
              <w:rPr>
                <w:rFonts w:hint="eastAsia" w:ascii="仿宋_GB2312" w:hAnsi="仿宋_GB2312" w:eastAsia="仿宋_GB2312" w:cs="仿宋_GB2312"/>
                <w:bCs/>
                <w:color w:val="000000"/>
                <w:kern w:val="0"/>
                <w:sz w:val="28"/>
                <w:szCs w:val="28"/>
                <w:shd w:val="clear" w:color="auto" w:fill="FFFFFF"/>
                <w:lang w:val="en-US" w:eastAsia="zh-CN" w:bidi="ar"/>
              </w:rPr>
            </w:pPr>
            <w:r>
              <w:rPr>
                <w:rFonts w:hint="eastAsia" w:ascii="仿宋_GB2312" w:hAnsi="仿宋_GB2312" w:eastAsia="仿宋_GB2312" w:cs="仿宋_GB2312"/>
                <w:bCs/>
                <w:color w:val="000000"/>
                <w:kern w:val="0"/>
                <w:sz w:val="28"/>
                <w:szCs w:val="28"/>
                <w:shd w:val="clear" w:color="auto" w:fill="FFFFFF"/>
                <w:lang w:val="en-US" w:eastAsia="zh-CN" w:bidi="ar"/>
              </w:rPr>
              <w:t>满分15分，能完全满足交货时间、地点要求得满分，延迟交货的每延迟1天扣1分，无法承担运输责任的扣5分。</w:t>
            </w:r>
          </w:p>
          <w:p w14:paraId="168B4A83">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560" w:leftChars="200" w:right="0"/>
              <w:jc w:val="left"/>
              <w:textAlignment w:val="auto"/>
              <w:rPr>
                <w:rFonts w:hint="eastAsia" w:ascii="仿宋_GB2312" w:hAnsi="仿宋_GB2312" w:eastAsia="仿宋_GB2312" w:cs="仿宋_GB2312"/>
                <w:bCs/>
                <w:color w:val="000000"/>
                <w:kern w:val="0"/>
                <w:sz w:val="28"/>
                <w:szCs w:val="28"/>
                <w:shd w:val="clear" w:color="auto" w:fill="FFFFFF"/>
                <w:lang w:bidi="ar"/>
              </w:rPr>
            </w:pPr>
            <w:r>
              <w:rPr>
                <w:rFonts w:hint="eastAsia" w:ascii="仿宋_GB2312" w:hAnsi="仿宋_GB2312" w:eastAsia="仿宋_GB2312" w:cs="仿宋_GB2312"/>
                <w:bCs/>
                <w:color w:val="000000"/>
                <w:kern w:val="0"/>
                <w:sz w:val="28"/>
                <w:szCs w:val="28"/>
                <w:shd w:val="clear" w:color="auto" w:fill="FFFFFF"/>
                <w:lang w:val="en-US" w:eastAsia="zh-CN" w:bidi="ar"/>
              </w:rPr>
              <w:t>5、</w:t>
            </w:r>
            <w:r>
              <w:rPr>
                <w:rFonts w:hint="eastAsia" w:ascii="仿宋_GB2312" w:hAnsi="仿宋_GB2312" w:eastAsia="仿宋_GB2312" w:cs="仿宋_GB2312"/>
                <w:bCs/>
                <w:color w:val="000000"/>
                <w:kern w:val="0"/>
                <w:sz w:val="28"/>
                <w:szCs w:val="28"/>
                <w:shd w:val="clear" w:color="auto" w:fill="FFFFFF"/>
                <w:lang w:bidi="ar"/>
              </w:rPr>
              <w:t>服务（服务态度、投诉处理响应速度等）</w:t>
            </w:r>
            <w:r>
              <w:rPr>
                <w:rFonts w:hint="eastAsia" w:ascii="仿宋_GB2312" w:hAnsi="仿宋_GB2312" w:eastAsia="仿宋_GB2312" w:cs="仿宋_GB2312"/>
                <w:bCs/>
                <w:color w:val="000000"/>
                <w:kern w:val="0"/>
                <w:sz w:val="28"/>
                <w:szCs w:val="28"/>
                <w:shd w:val="clear" w:color="auto" w:fill="FFFFFF"/>
                <w:lang w:eastAsia="zh-CN" w:bidi="ar"/>
              </w:rPr>
              <w:t>：</w:t>
            </w:r>
          </w:p>
          <w:p w14:paraId="2C38B0C1">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firstLine="560" w:firstLineChars="200"/>
              <w:jc w:val="left"/>
              <w:textAlignment w:val="auto"/>
              <w:rPr>
                <w:rFonts w:hint="eastAsia" w:ascii="仿宋_GB2312" w:hAnsi="仿宋_GB2312" w:eastAsia="仿宋_GB2312" w:cs="仿宋_GB2312"/>
                <w:bCs/>
                <w:color w:val="000000"/>
                <w:kern w:val="0"/>
                <w:sz w:val="28"/>
                <w:szCs w:val="28"/>
                <w:shd w:val="clear" w:color="auto" w:fill="FFFFFF"/>
                <w:lang w:val="en-US" w:eastAsia="zh-CN" w:bidi="ar"/>
              </w:rPr>
            </w:pPr>
            <w:r>
              <w:rPr>
                <w:rFonts w:hint="eastAsia" w:ascii="仿宋_GB2312" w:hAnsi="仿宋_GB2312" w:eastAsia="仿宋_GB2312" w:cs="仿宋_GB2312"/>
                <w:bCs/>
                <w:color w:val="000000"/>
                <w:kern w:val="0"/>
                <w:sz w:val="28"/>
                <w:szCs w:val="28"/>
                <w:shd w:val="clear" w:color="auto" w:fill="FFFFFF"/>
                <w:lang w:val="en-US" w:eastAsia="zh-CN" w:bidi="ar"/>
              </w:rPr>
              <w:t>满分10分，以项目专员与供应商对接情况打分，响应积极，回复详尽得满分。</w:t>
            </w:r>
          </w:p>
          <w:p w14:paraId="776402BD">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560" w:leftChars="200" w:right="0"/>
              <w:jc w:val="left"/>
              <w:textAlignment w:val="auto"/>
              <w:rPr>
                <w:rFonts w:hint="eastAsia" w:ascii="仿宋_GB2312" w:hAnsi="仿宋_GB2312" w:eastAsia="仿宋_GB2312" w:cs="仿宋_GB2312"/>
                <w:bCs/>
                <w:color w:val="000000"/>
                <w:kern w:val="0"/>
                <w:sz w:val="28"/>
                <w:szCs w:val="28"/>
                <w:shd w:val="clear" w:color="auto" w:fill="FFFFFF"/>
                <w:lang w:bidi="ar"/>
              </w:rPr>
            </w:pPr>
            <w:r>
              <w:rPr>
                <w:rFonts w:hint="eastAsia" w:ascii="仿宋_GB2312" w:hAnsi="仿宋_GB2312" w:eastAsia="仿宋_GB2312" w:cs="仿宋_GB2312"/>
                <w:bCs/>
                <w:color w:val="000000"/>
                <w:kern w:val="0"/>
                <w:sz w:val="28"/>
                <w:szCs w:val="28"/>
                <w:shd w:val="clear" w:color="auto" w:fill="FFFFFF"/>
                <w:lang w:val="en-US" w:eastAsia="zh-CN" w:bidi="ar"/>
              </w:rPr>
              <w:t>6、伦理道德（对鄞基金伦理道德守则的落实情况）：</w:t>
            </w:r>
          </w:p>
          <w:p w14:paraId="031CB58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560" w:firstLineChars="200"/>
              <w:jc w:val="left"/>
              <w:textAlignment w:val="auto"/>
              <w:rPr>
                <w:rFonts w:hint="eastAsia" w:ascii="仿宋_GB2312" w:hAnsi="仿宋_GB2312" w:eastAsia="仿宋_GB2312" w:cs="仿宋_GB2312"/>
                <w:bCs/>
                <w:color w:val="000000"/>
                <w:kern w:val="0"/>
                <w:sz w:val="28"/>
                <w:szCs w:val="28"/>
                <w:shd w:val="clear" w:color="auto" w:fill="FFFFFF"/>
                <w:lang w:val="en-US" w:eastAsia="zh-CN" w:bidi="ar"/>
              </w:rPr>
            </w:pPr>
            <w:r>
              <w:rPr>
                <w:rFonts w:hint="eastAsia" w:ascii="仿宋_GB2312" w:hAnsi="仿宋_GB2312" w:eastAsia="仿宋_GB2312" w:cs="仿宋_GB2312"/>
                <w:bCs/>
                <w:color w:val="000000"/>
                <w:kern w:val="0"/>
                <w:sz w:val="28"/>
                <w:szCs w:val="28"/>
                <w:shd w:val="clear" w:color="auto" w:fill="FFFFFF"/>
                <w:lang w:val="en-US" w:eastAsia="zh-CN" w:bidi="ar"/>
              </w:rPr>
              <w:t>满分10分，能认同鄞基金伦理道德规范，并签署伦理道德申明的得满分，无法提供不得分。</w:t>
            </w:r>
          </w:p>
          <w:p w14:paraId="29A7F3B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0" w:firstLineChars="0"/>
              <w:jc w:val="left"/>
              <w:textAlignment w:val="auto"/>
              <w:rPr>
                <w:rFonts w:hint="eastAsia" w:ascii="仿宋_GB2312" w:hAnsi="仿宋_GB2312" w:eastAsia="仿宋_GB2312" w:cs="仿宋_GB2312"/>
                <w:bCs/>
                <w:color w:val="000000"/>
                <w:kern w:val="0"/>
                <w:sz w:val="28"/>
                <w:szCs w:val="28"/>
                <w:shd w:val="clear" w:color="auto" w:fill="FFFFFF"/>
                <w:lang w:bidi="ar"/>
              </w:rPr>
            </w:pPr>
            <w:bookmarkStart w:id="0" w:name="_GoBack"/>
            <w:bookmarkEnd w:id="0"/>
          </w:p>
          <w:p w14:paraId="0D7085A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560" w:firstLineChars="200"/>
              <w:jc w:val="left"/>
              <w:textAlignment w:val="auto"/>
              <w:rPr>
                <w:rFonts w:hint="eastAsia" w:ascii="仿宋_GB2312" w:hAnsi="仿宋_GB2312" w:eastAsia="仿宋_GB2312" w:cs="仿宋_GB2312"/>
                <w:bCs/>
                <w:color w:val="000000"/>
                <w:kern w:val="0"/>
                <w:sz w:val="28"/>
                <w:szCs w:val="28"/>
                <w:shd w:val="clear" w:color="auto" w:fill="FFFFFF"/>
                <w:lang w:bidi="ar"/>
              </w:rPr>
            </w:pPr>
            <w:r>
              <w:rPr>
                <w:rFonts w:hint="eastAsia" w:ascii="仿宋_GB2312" w:hAnsi="仿宋_GB2312" w:eastAsia="仿宋_GB2312" w:cs="仿宋_GB2312"/>
                <w:bCs/>
                <w:color w:val="000000"/>
                <w:kern w:val="0"/>
                <w:sz w:val="28"/>
                <w:szCs w:val="28"/>
                <w:shd w:val="clear" w:color="auto" w:fill="FFFFFF"/>
                <w:lang w:bidi="ar"/>
              </w:rPr>
              <w:t>评价结论（哪家供应商是首选供应商，哪家是备选）：</w:t>
            </w:r>
          </w:p>
          <w:p w14:paraId="59690A6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3895" w:leftChars="1391" w:right="0" w:firstLine="5880" w:firstLineChars="2100"/>
              <w:jc w:val="left"/>
              <w:textAlignment w:val="auto"/>
              <w:rPr>
                <w:rFonts w:hint="eastAsia" w:ascii="仿宋_GB2312" w:hAnsi="仿宋_GB2312" w:eastAsia="仿宋_GB2312" w:cs="仿宋_GB2312"/>
                <w:bCs/>
                <w:color w:val="000000"/>
                <w:kern w:val="0"/>
                <w:sz w:val="28"/>
                <w:szCs w:val="28"/>
                <w:shd w:val="clear" w:color="auto" w:fill="FFFFFF"/>
                <w:lang w:bidi="ar"/>
              </w:rPr>
            </w:pPr>
            <w:r>
              <w:rPr>
                <w:rFonts w:hint="eastAsia" w:ascii="仿宋_GB2312" w:hAnsi="仿宋_GB2312" w:eastAsia="仿宋_GB2312" w:cs="仿宋_GB2312"/>
                <w:bCs/>
                <w:color w:val="000000"/>
                <w:kern w:val="0"/>
                <w:sz w:val="28"/>
                <w:szCs w:val="28"/>
                <w:shd w:val="clear" w:color="auto" w:fill="FFFFFF"/>
                <w:lang w:bidi="ar"/>
              </w:rPr>
              <w:t>评估人：</w:t>
            </w:r>
          </w:p>
          <w:p w14:paraId="007577B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5992" w:leftChars="2140" w:right="0" w:firstLine="3920" w:firstLineChars="1400"/>
              <w:jc w:val="left"/>
              <w:textAlignment w:val="auto"/>
              <w:rPr>
                <w:rFonts w:hint="eastAsia" w:ascii="仿宋_GB2312" w:hAnsi="仿宋_GB2312" w:eastAsia="仿宋_GB2312" w:cs="仿宋_GB2312"/>
                <w:bCs/>
                <w:color w:val="000000"/>
                <w:kern w:val="0"/>
                <w:sz w:val="30"/>
                <w:szCs w:val="30"/>
                <w:shd w:val="clear" w:color="auto" w:fill="FFFFFF"/>
                <w:lang w:bidi="ar"/>
              </w:rPr>
            </w:pPr>
            <w:r>
              <w:rPr>
                <w:rFonts w:hint="eastAsia" w:ascii="仿宋_GB2312" w:hAnsi="仿宋_GB2312" w:eastAsia="仿宋_GB2312" w:cs="仿宋_GB2312"/>
                <w:bCs/>
                <w:color w:val="000000"/>
                <w:kern w:val="0"/>
                <w:sz w:val="28"/>
                <w:szCs w:val="28"/>
                <w:shd w:val="clear" w:color="auto" w:fill="FFFFFF"/>
                <w:lang w:bidi="ar"/>
              </w:rPr>
              <w:t>日期：</w:t>
            </w:r>
          </w:p>
        </w:tc>
      </w:tr>
    </w:tbl>
    <w:p w14:paraId="39B363AD">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default" w:eastAsia="方正仿宋简体"/>
          <w:lang w:val="en-US" w:eastAsia="zh-CN"/>
        </w:rPr>
      </w:pPr>
    </w:p>
    <w:p w14:paraId="36EFBEDE"/>
    <w:sectPr>
      <w:headerReference r:id="rId3" w:type="default"/>
      <w:footerReference r:id="rId4" w:type="default"/>
      <w:pgSz w:w="16838" w:h="11906" w:orient="landscape"/>
      <w:pgMar w:top="1803" w:right="1440" w:bottom="1803" w:left="1440" w:header="851" w:footer="992" w:gutter="0"/>
      <w:cols w:space="0" w:num="1"/>
      <w:rtlGutter w:val="0"/>
      <w:docGrid w:type="lines" w:linePitch="39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Helvetica Neue">
    <w:altName w:val="Times New Roman"/>
    <w:panose1 w:val="00000000000000000000"/>
    <w:charset w:val="00"/>
    <w:family w:val="roman"/>
    <w:pitch w:val="default"/>
    <w:sig w:usb0="00000000" w:usb1="00000000" w:usb2="00000000" w:usb3="00000000" w:csb0="00000000" w:csb1="00000000"/>
  </w:font>
  <w:font w:name="Arial Unicode MS">
    <w:altName w:val="宋体"/>
    <w:panose1 w:val="020B0604020202020204"/>
    <w:charset w:val="86"/>
    <w:family w:val="roman"/>
    <w:pitch w:val="default"/>
    <w:sig w:usb0="00000000" w:usb1="00000000" w:usb2="0000003F" w:usb3="00000000" w:csb0="603F01FF" w:csb1="FFFF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仿宋简体">
    <w:panose1 w:val="02010601030101010101"/>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202F0B">
    <w:pPr>
      <w:pStyle w:val="9"/>
      <w:framePr w:wrap="auto" w:vAnchor="margin" w:hAnchor="text" w:yAlign="inline"/>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59C6DF">
    <w:pPr>
      <w:pStyle w:val="8"/>
      <w:framePr w:wrap="auto" w:vAnchor="margin" w:hAnchor="text" w:yAlign="inline"/>
      <w:bidi w:v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C0E7840"/>
    <w:rsid w:val="0C0E7840"/>
    <w:rsid w:val="5D366D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楷体_GB2312" w:cs="Times New Roman"/>
      <w:kern w:val="2"/>
      <w:sz w:val="28"/>
      <w:szCs w:val="24"/>
      <w:lang w:val="en-US" w:eastAsia="zh-CN" w:bidi="ar-SA"/>
    </w:rPr>
  </w:style>
  <w:style w:type="paragraph" w:styleId="2">
    <w:name w:val="heading 3"/>
    <w:basedOn w:val="1"/>
    <w:next w:val="1"/>
    <w:link w:val="6"/>
    <w:semiHidden/>
    <w:unhideWhenUsed/>
    <w:qFormat/>
    <w:uiPriority w:val="0"/>
    <w:pPr>
      <w:keepNext/>
      <w:keepLines/>
      <w:spacing w:before="260" w:after="260" w:line="413" w:lineRule="auto"/>
      <w:jc w:val="left"/>
      <w:outlineLvl w:val="2"/>
    </w:pPr>
    <w:rPr>
      <w:b/>
    </w:rPr>
  </w:style>
  <w:style w:type="character" w:default="1" w:styleId="5">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table" w:styleId="4">
    <w:name w:val="Table Grid"/>
    <w:basedOn w:val="3"/>
    <w:qFormat/>
    <w:uiPriority w:val="0"/>
    <w:pPr>
      <w:keepNext w:val="0"/>
      <w:keepLines w:val="0"/>
      <w:widowControl/>
      <w:suppressLineNumbers w:val="0"/>
      <w:spacing w:before="0" w:beforeAutospacing="0" w:after="0" w:afterAutospacing="0"/>
      <w:ind w:left="0" w:right="0"/>
    </w:pPr>
    <w:rPr>
      <w:rFonts w:hint="default" w:ascii="Calibri" w:hAnsi="Calibri" w:cs="Times New Roman"/>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 w:type="character" w:customStyle="1" w:styleId="6">
    <w:name w:val="标题 3 字符"/>
    <w:link w:val="2"/>
    <w:qFormat/>
    <w:uiPriority w:val="0"/>
    <w:rPr>
      <w:b/>
    </w:rPr>
  </w:style>
  <w:style w:type="paragraph" w:styleId="7">
    <w:name w:val="List Paragraph"/>
    <w:basedOn w:val="1"/>
    <w:qFormat/>
    <w:uiPriority w:val="34"/>
    <w:pPr>
      <w:ind w:firstLine="420" w:firstLineChars="200"/>
    </w:pPr>
  </w:style>
  <w:style w:type="paragraph" w:customStyle="1" w:styleId="8">
    <w:name w:val="页眉与页脚"/>
    <w:qFormat/>
    <w:uiPriority w:val="0"/>
    <w:pPr>
      <w:keepNext w:val="0"/>
      <w:keepLines w:val="0"/>
      <w:pageBreakBefore w:val="0"/>
      <w:framePr w:wrap="auto"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tabs>
        <w:tab w:val="right" w:pos="9020"/>
      </w:tabs>
      <w:suppressAutoHyphens w:val="0"/>
      <w:bidi w:val="0"/>
      <w:spacing w:before="0" w:beforeAutospacing="0" w:after="0" w:afterAutospacing="0" w:line="240" w:lineRule="auto"/>
      <w:ind w:left="0" w:right="0" w:firstLine="0"/>
      <w:jc w:val="left"/>
      <w:outlineLvl w:val="9"/>
    </w:pPr>
    <w:rPr>
      <w:rFonts w:ascii="Helvetica Neue" w:hAnsi="Helvetica Neue" w:eastAsia="Arial Unicode MS" w:cs="Arial Unicode MS"/>
      <w:color w:val="000000"/>
      <w:spacing w:val="0"/>
      <w:w w:val="100"/>
      <w:kern w:val="0"/>
      <w:position w:val="0"/>
      <w:sz w:val="24"/>
      <w:szCs w:val="24"/>
      <w:u w:val="none" w:color="auto"/>
      <w:vertAlign w:val="baseline"/>
    </w:rPr>
  </w:style>
  <w:style w:type="paragraph" w:customStyle="1" w:styleId="9">
    <w:name w:val="页脚1"/>
    <w:qFormat/>
    <w:uiPriority w:val="0"/>
    <w:pPr>
      <w:keepNext w:val="0"/>
      <w:keepLines w:val="0"/>
      <w:pageBreakBefore w:val="0"/>
      <w:framePr w:wrap="auto"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tabs>
        <w:tab w:val="center" w:pos="4153"/>
        <w:tab w:val="right" w:pos="8306"/>
      </w:tabs>
      <w:suppressAutoHyphens w:val="0"/>
      <w:bidi w:val="0"/>
      <w:spacing w:before="0" w:beforeAutospacing="0" w:after="0" w:afterAutospacing="0" w:line="240" w:lineRule="auto"/>
      <w:ind w:left="0" w:right="0" w:firstLine="0"/>
      <w:jc w:val="left"/>
      <w:outlineLvl w:val="9"/>
    </w:pPr>
    <w:rPr>
      <w:rFonts w:hint="default" w:ascii="Times New Roman" w:hAnsi="Times New Roman" w:eastAsia="Arial Unicode MS" w:cs="Arial Unicode MS"/>
      <w:color w:val="000000"/>
      <w:spacing w:val="0"/>
      <w:w w:val="100"/>
      <w:kern w:val="2"/>
      <w:position w:val="0"/>
      <w:sz w:val="18"/>
      <w:szCs w:val="18"/>
      <w:u w:val="none" w:color="000000"/>
      <w:vertAlign w:val="baseline"/>
      <w:lang w:val="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3384</Words>
  <Characters>3449</Characters>
  <Lines>0</Lines>
  <Paragraphs>0</Paragraphs>
  <TotalTime>0</TotalTime>
  <ScaleCrop>false</ScaleCrop>
  <LinksUpToDate>false</LinksUpToDate>
  <CharactersWithSpaces>3522</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2025-05-08T07:45:00Z</dcterms:created>
  <dc:creator>Shirley</dc:creator>
  <cp:lastModifiedBy>Shirley</cp:lastModifiedBy>
  <dcterms:modified xsi:type="dcterms:W3CDTF">2025-05-08T08:32:00Z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3762925F5B0A4E4BA534340DA2CFD038_11</vt:lpwstr>
  </property>
  <property fmtid="{D5CDD505-2E9C-101B-9397-08002B2CF9AE}" pid="4" name="KSOTemplateDocerSaveRecord">
    <vt:lpwstr>eyJoZGlkIjoiMjc5YTc4NzdjZjBmNjNiNzViNWM2MTBkODZjM2RkZGUiLCJ1c2VySWQiOiI2NzEwMTA3ODUifQ==</vt:lpwstr>
  </property>
</Properties>
</file>