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4A6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  <w:t>宁波鄞州银行公益基金会培训管理办法</w:t>
      </w:r>
    </w:p>
    <w:p w14:paraId="15145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</w:p>
    <w:p w14:paraId="7F06AD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第一章 总 则</w:t>
      </w:r>
    </w:p>
    <w:p w14:paraId="02C04F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第一条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为提升基金会员工工作胜任能力，鼓励主动学习以提高专业能力，促进员工职业发展，特制定本管理办法。</w:t>
      </w:r>
    </w:p>
    <w:p w14:paraId="033A89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第二条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本管理办法适用于基金会全体员工，包括机构层面统一组织、各部门的各类培训、员工自主选择的进修及培训等。</w:t>
      </w:r>
    </w:p>
    <w:p w14:paraId="1DB2DB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3D2005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第二章 培训实施原则、目的</w:t>
      </w:r>
    </w:p>
    <w:p w14:paraId="2F9DDB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第三条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培训的原则 </w:t>
      </w:r>
    </w:p>
    <w:p w14:paraId="30C94E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（一）赋能为主，管理为辅，建设学习型组织氛围。员工工作能力提升第一责任人是员工本人，部门直属领导同时承担员工成长发展的责任。</w:t>
      </w:r>
    </w:p>
    <w:p w14:paraId="3E3391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（二）理论与实践相结合的原则，以相关性、实用性、价值贡献性为重点，学以致用，提升工作业绩。</w:t>
      </w:r>
    </w:p>
    <w:p w14:paraId="0950FD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（三）前瞻性原则，既符合提升当前工作素质能力的需求，又能满足未来工作挑战的能力。</w:t>
      </w:r>
    </w:p>
    <w:p w14:paraId="706CA2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第四条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培训的目的 </w:t>
      </w:r>
    </w:p>
    <w:p w14:paraId="3F175D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（一）改善机构员工的知识结构、提升员工的综合素质，提高员工的工作技能、工作态度和行为模式，更好的完成机构的工作计划与工作目标。</w:t>
      </w:r>
    </w:p>
    <w:p w14:paraId="56934B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（二）提升机构凝聚力、吸引力、向心力和战斗力，为机构进一步发展储备人才。</w:t>
      </w:r>
    </w:p>
    <w:p w14:paraId="52997B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（三）提高管理人员的管理意识、管理技能、管理能力与领导水平。</w:t>
      </w:r>
    </w:p>
    <w:p w14:paraId="28C541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2FAD3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第三章 培训职责分工与预算</w:t>
      </w:r>
    </w:p>
    <w:p w14:paraId="48EE5C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第五条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综合部为本办法实施的协调、监督及管理提供支持。综合部配合秘书长负责机构层面的培训工作计划与安排，聘请培训公司及培训讲师，员工外派培训的审核与办理；年度培训预算的汇总审核，及培训预算执行跟踪，对会引起预算超支的培训计划做出预警。</w:t>
      </w:r>
    </w:p>
    <w:p w14:paraId="46CF25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第六条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各职能部门配合机构整体培训计划实施，负责本部门年度培训预算与计划安排，内训的举办及外训的成果汇报，受训员工的训后督导与追踪。</w:t>
      </w:r>
    </w:p>
    <w:p w14:paraId="6D2994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第七条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参训员工有义务向机构其他成员分享所学知识与技能，并将培训成果运用到日常工作中。</w:t>
      </w:r>
    </w:p>
    <w:p w14:paraId="7CD241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宋体" w:eastAsia="黑体" w:cs="黑体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 w14:paraId="02F6B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第四章 培训计划制定和实施</w:t>
      </w:r>
    </w:p>
    <w:p w14:paraId="46C859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第八条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培训计划应包括：受训人、培训项目、培训形式、预计开展时间、培训预算等内容。</w:t>
      </w:r>
    </w:p>
    <w:p w14:paraId="522E75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第九条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培训计划的制定  </w:t>
      </w:r>
    </w:p>
    <w:p w14:paraId="5E8812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综合部经充分的培训需求调研后，拟定机构层面的年度培训计划，报秘书长审核确认。</w:t>
      </w:r>
    </w:p>
    <w:p w14:paraId="2DF833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培训计划的实施流程 </w:t>
      </w:r>
    </w:p>
    <w:p w14:paraId="2FF7F7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机构层面的业务学习及培训活动，各职能部门因工作需要，派出员工参加专业培训的，由综合部统一组织、安排； </w:t>
      </w:r>
    </w:p>
    <w:p w14:paraId="16E309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第五章 培训的实施</w:t>
      </w:r>
    </w:p>
    <w:p w14:paraId="435B05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第十一条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培训时间应符合以下原则： </w:t>
      </w:r>
    </w:p>
    <w:p w14:paraId="4E8D44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(一) 由基金会组织安排的各类专业技能培训，根据课程需要安排时间，并兼顾培训对日常工作影响降到最低。</w:t>
      </w:r>
    </w:p>
    <w:p w14:paraId="4E25D3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(二) 全体培训尽可能与基金会有关会议相结合，以节省时间和费用。</w:t>
      </w:r>
    </w:p>
    <w:p w14:paraId="210B38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(三) 各部门自行选择的培训，应尽量避开机构的工作繁忙期；</w:t>
      </w:r>
    </w:p>
    <w:p w14:paraId="289E44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第十二条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培训的形式及对应流程 </w:t>
      </w:r>
    </w:p>
    <w:p w14:paraId="453DC2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一）内训：各类学习会，内部分享会，外聘讲师开展的内训等。由综合部统筹机构层面内训的组织安排，培训方案审批通过后执行；各部门主任负责部门层面内训的统筹安排，如有费用产生的，需提交审批流程。</w:t>
      </w:r>
    </w:p>
    <w:p w14:paraId="149FFB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（二）外训：因公外派员工参加的各类与本职工作相关的培训，业务主管单位组织的培训等。</w:t>
      </w:r>
    </w:p>
    <w:p w14:paraId="091F0D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外训需提交对应的事前申请流程：提交“外出/出差申请流程”，并注明培训时间、内容、费用等内容。审批流程：本人申请→直属领导审批→秘书长审批；</w:t>
      </w:r>
    </w:p>
    <w:p w14:paraId="5C6541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第十三条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培训的类型包括但不限于入职培训、技能提升培训、管理能力培训、个人进修等。</w:t>
      </w:r>
    </w:p>
    <w:p w14:paraId="5A6C39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第十四条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入职培训是针对基金会新聘入的员工组织的培训。培训内容主要包括基金会简介、机构文化，规章制度、行为规范、主要人员简介等相关内容，以帮助新员工增进对基金会及工作环境的了解，迅速进入工作状态。入职培训的方式包括：举办专题报告会，播放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视听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材料，提供制度文本及文件资料由个人自行阅读，组织机构制度的知识考试。</w:t>
      </w:r>
    </w:p>
    <w:p w14:paraId="461FAA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第十五条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技能提升培训是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对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在岗员工的工作专业进行培训，目的是提高员工的人岗匹配度，促进工作绩效。技能培训的方式包括但不限于：短期业务培训，研讨会，工作坊。</w:t>
      </w:r>
    </w:p>
    <w:p w14:paraId="28943A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第十六条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管理能力培训是针对部门主任及以上管理岗位，为提高其工作水平和管理能力进行的管理能力，领导力提升类培训，由综合部列入年度培训计划统一安排。</w:t>
      </w:r>
    </w:p>
    <w:p w14:paraId="5679E4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第十七条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基金会鼓励员工进修学习，包括攻读学位，职称认证考试及与本岗位相关的职业资格证书考试。通过专业考试并获得毕/结业证书、职业资格证书后报综合部备案。</w:t>
      </w:r>
    </w:p>
    <w:p w14:paraId="297491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第十八条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员工个人进修如占用工作日的，应以请假的形式参与。</w:t>
      </w:r>
    </w:p>
    <w:p w14:paraId="3609D4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556519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第六章 培训的成果评估</w:t>
      </w:r>
    </w:p>
    <w:p w14:paraId="29EC6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第十九条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员工应按时参加机构及部门组织的培训，如有事不能参加的，应至少提前 1 天向培训组织部门提出请假申请。培训期间的迟到，早退，缺勤等情况，参照基金会考勤管理及员工行为守则规定处理。</w:t>
      </w:r>
    </w:p>
    <w:p w14:paraId="57AD34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第二十条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对培训结果进行持续跟踪，并评估培训成果。培训的评估方式应在培训计划中予以说明并执行。培训组织部门可采用问卷或访谈的形式对培训的效果进行评估，评估纬度包括受训者对培训的整体感受，培训考核成绩</w:t>
      </w:r>
      <w:bookmarkStart w:id="0" w:name="_GoBack"/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，培</w:t>
      </w:r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训后对于工作行为是否产生积极影响等方面。各类培训材料、成果及评估报告统一由综合部归档保管。</w:t>
      </w:r>
    </w:p>
    <w:p w14:paraId="619CDD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655DD3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第七章 附 则</w:t>
      </w:r>
    </w:p>
    <w:p w14:paraId="5A4577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第二十一条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本办法由宁波鄞州银行公益基金会制定、修改、解释，与国家法律法规发生冲突的，以国家法律法规为准。</w:t>
      </w:r>
    </w:p>
    <w:p w14:paraId="0458EE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第二十二条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自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理事会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审议通过后，自颁布之日起施行。 </w:t>
      </w:r>
    </w:p>
    <w:p w14:paraId="66A0D8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right"/>
        <w:textAlignment w:val="auto"/>
        <w:rPr>
          <w:rFonts w:hint="eastAsia" w:ascii="仿宋_GB2312" w:hAnsi="黑体" w:eastAsia="仿宋_GB2312"/>
          <w:color w:val="000000"/>
          <w:sz w:val="32"/>
          <w:szCs w:val="32"/>
        </w:rPr>
      </w:pPr>
    </w:p>
    <w:p w14:paraId="1C60BB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right"/>
        <w:textAlignment w:val="auto"/>
        <w:rPr>
          <w:rFonts w:hint="default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宁波鄞州银行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公益基金会</w:t>
      </w:r>
    </w:p>
    <w:p w14:paraId="221B64DC">
      <w:pPr>
        <w:jc w:val="center"/>
      </w:pPr>
      <w:r>
        <w:rPr>
          <w:rFonts w:hint="eastAsia" w:ascii="方正仿宋简体" w:hAnsi="仿宋" w:eastAsia="方正仿宋简体" w:cs="Arial"/>
          <w:bCs/>
          <w:kern w:val="0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方正仿宋简体" w:hAnsi="仿宋" w:eastAsia="方正仿宋简体" w:cs="Arial"/>
          <w:bCs/>
          <w:kern w:val="0"/>
          <w:sz w:val="32"/>
          <w:szCs w:val="32"/>
        </w:rPr>
        <w:t>二</w:t>
      </w:r>
      <w:r>
        <w:rPr>
          <w:rFonts w:hint="eastAsia" w:ascii="宋体" w:hAnsi="宋体" w:eastAsia="宋体" w:cs="宋体"/>
          <w:bCs/>
          <w:kern w:val="0"/>
          <w:sz w:val="32"/>
          <w:szCs w:val="32"/>
        </w:rPr>
        <w:t>〇</w:t>
      </w:r>
      <w:r>
        <w:rPr>
          <w:rFonts w:hint="eastAsia" w:ascii="方正仿宋简体" w:hAnsi="仿宋" w:eastAsia="方正仿宋简体" w:cs="Arial"/>
          <w:bCs/>
          <w:kern w:val="0"/>
          <w:sz w:val="32"/>
          <w:szCs w:val="32"/>
        </w:rPr>
        <w:t>二</w:t>
      </w:r>
      <w:r>
        <w:rPr>
          <w:rFonts w:hint="eastAsia" w:ascii="方正仿宋简体" w:hAnsi="仿宋" w:eastAsia="方正仿宋简体" w:cs="Arial"/>
          <w:bCs/>
          <w:kern w:val="0"/>
          <w:sz w:val="32"/>
          <w:szCs w:val="32"/>
          <w:lang w:val="en-US" w:eastAsia="zh-CN"/>
        </w:rPr>
        <w:t>五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年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</w:rPr>
        <w:t>三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月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en-US" w:eastAsia="zh-CN"/>
        </w:rPr>
        <w:t>二十五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E0BC2"/>
    <w:rsid w:val="3A3E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2025-05-08T07:41:00Z</dcterms:created>
  <dc:creator>Shirley</dc:creator>
  <cp:lastModifiedBy>Shirley</cp:lastModifiedBy>
  <dcterms:modified xsi:type="dcterms:W3CDTF">2025-05-08T07:42:35Z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0366BA35A3F3475C9BB018B5334EF191_11</vt:lpwstr>
  </property>
  <property fmtid="{D5CDD505-2E9C-101B-9397-08002B2CF9AE}" pid="4" name="KSOTemplateDocerSaveRecord">
    <vt:lpwstr>eyJoZGlkIjoiMjc5YTc4NzdjZjBmNjNiNzViNWM2MTBkODZjM2RkZGUiLCJ1c2VySWQiOiI2NzEwMTA3ODUifQ==</vt:lpwstr>
  </property>
</Properties>
</file>