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2782F8">
      <w:pPr>
        <w:spacing w:line="640" w:lineRule="exact"/>
        <w:ind w:firstLine="440" w:firstLineChars="100"/>
        <w:jc w:val="both"/>
        <w:outlineLvl w:val="0"/>
        <w:rPr>
          <w:rFonts w:hint="eastAsia" w:ascii="方正小标宋简体" w:hAnsi="黑体" w:eastAsia="方正小标宋简体" w:cs="Times New Roman"/>
          <w:color w:val="000000"/>
          <w:sz w:val="44"/>
          <w:szCs w:val="44"/>
          <w:lang w:val="en-US" w:eastAsia="zh-CN"/>
        </w:rPr>
      </w:pPr>
      <w:r>
        <w:rPr>
          <w:rFonts w:hint="eastAsia" w:ascii="方正小标宋简体" w:hAnsi="黑体" w:eastAsia="方正小标宋简体" w:cs="Times New Roman"/>
          <w:color w:val="000000"/>
          <w:sz w:val="44"/>
          <w:szCs w:val="44"/>
          <w:lang w:val="en-US" w:eastAsia="zh-CN"/>
        </w:rPr>
        <w:t>宁波鄞州银行公益基金会薪酬管理办法</w:t>
      </w:r>
    </w:p>
    <w:p w14:paraId="6DFB8AEE">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（修订稿）</w:t>
      </w:r>
    </w:p>
    <w:p w14:paraId="1C4BC0CF">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2"/>
          <w:szCs w:val="32"/>
          <w:lang w:val="en-US" w:eastAsia="zh-CN"/>
        </w:rPr>
      </w:pPr>
    </w:p>
    <w:p w14:paraId="1A24E023">
      <w:pPr>
        <w:spacing w:line="560" w:lineRule="exact"/>
        <w:jc w:val="center"/>
        <w:rPr>
          <w:rFonts w:hint="eastAsia" w:ascii="黑体" w:hAnsi="黑体" w:eastAsia="黑体" w:cs="Times New Roman"/>
          <w:color w:val="000000"/>
          <w:sz w:val="32"/>
          <w:szCs w:val="32"/>
        </w:rPr>
      </w:pPr>
      <w:r>
        <w:rPr>
          <w:rFonts w:hint="eastAsia" w:ascii="黑体" w:hAnsi="黑体" w:eastAsia="黑体" w:cs="Times New Roman"/>
          <w:color w:val="000000"/>
          <w:sz w:val="32"/>
          <w:szCs w:val="32"/>
          <w:lang w:val="en-US" w:eastAsia="zh-CN"/>
        </w:rPr>
        <w:t>第一章 总 则</w:t>
      </w:r>
    </w:p>
    <w:p w14:paraId="3F765127">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第一条</w:t>
      </w:r>
      <w:r>
        <w:rPr>
          <w:rFonts w:ascii="仿宋" w:hAnsi="仿宋" w:eastAsia="仿宋" w:cs="仿宋"/>
          <w:b/>
          <w:bCs/>
          <w:color w:val="000000"/>
          <w:kern w:val="0"/>
          <w:sz w:val="31"/>
          <w:szCs w:val="31"/>
          <w:lang w:val="en-US" w:eastAsia="zh-CN" w:bidi="ar"/>
        </w:rPr>
        <w:t xml:space="preserve"> </w:t>
      </w:r>
      <w:r>
        <w:rPr>
          <w:rFonts w:hint="eastAsia" w:ascii="仿宋_GB2312" w:hAnsi="Times New Roman" w:eastAsia="仿宋_GB2312" w:cs="Times New Roman"/>
          <w:sz w:val="32"/>
          <w:szCs w:val="32"/>
          <w:lang w:val="en-US" w:eastAsia="zh-CN"/>
        </w:rPr>
        <w:t>为建立有效的薪酬激励和约束机制，规范基金会薪酬管理，建立合</w:t>
      </w:r>
      <w:r>
        <w:rPr>
          <w:rFonts w:hint="default" w:ascii="仿宋_GB2312" w:hAnsi="Times New Roman" w:eastAsia="仿宋_GB2312" w:cs="Times New Roman"/>
          <w:sz w:val="32"/>
          <w:szCs w:val="32"/>
          <w:lang w:val="en-US" w:eastAsia="zh-CN"/>
        </w:rPr>
        <w:t>理的薪酬体系，充分调动员工积极性，特制定本办法。</w:t>
      </w:r>
    </w:p>
    <w:p w14:paraId="6468035F">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第二条</w:t>
      </w:r>
      <w:r>
        <w:rPr>
          <w:rFonts w:ascii="仿宋" w:hAnsi="仿宋" w:eastAsia="仿宋" w:cs="仿宋"/>
          <w:b/>
          <w:bCs/>
          <w:color w:val="000000"/>
          <w:kern w:val="0"/>
          <w:sz w:val="31"/>
          <w:szCs w:val="31"/>
          <w:lang w:val="en-US" w:eastAsia="zh-CN" w:bidi="ar"/>
        </w:rPr>
        <w:t xml:space="preserve"> </w:t>
      </w:r>
      <w:r>
        <w:rPr>
          <w:rFonts w:hint="default" w:ascii="仿宋_GB2312" w:hAnsi="Times New Roman" w:eastAsia="仿宋_GB2312" w:cs="Times New Roman"/>
          <w:sz w:val="32"/>
          <w:szCs w:val="32"/>
          <w:lang w:val="en-US" w:eastAsia="zh-CN"/>
        </w:rPr>
        <w:t>本办法适用于基金会所有正式聘用的全职员工，是基金会</w:t>
      </w:r>
      <w:r>
        <w:rPr>
          <w:rFonts w:hint="eastAsia" w:ascii="仿宋_GB2312" w:hAnsi="Times New Roman" w:eastAsia="仿宋_GB2312" w:cs="Times New Roman"/>
          <w:sz w:val="32"/>
          <w:szCs w:val="32"/>
          <w:lang w:val="en-US" w:eastAsia="zh-CN"/>
        </w:rPr>
        <w:t>人事</w:t>
      </w:r>
      <w:r>
        <w:rPr>
          <w:rFonts w:hint="default" w:ascii="仿宋_GB2312" w:hAnsi="Times New Roman" w:eastAsia="仿宋_GB2312" w:cs="Times New Roman"/>
          <w:sz w:val="32"/>
          <w:szCs w:val="32"/>
          <w:lang w:val="en-US" w:eastAsia="zh-CN"/>
        </w:rPr>
        <w:t>管理的基础，为人员招聘、薪酬管理、人才培养、绩效管理和员工发展提供薪资管理的重要依据。</w:t>
      </w:r>
    </w:p>
    <w:p w14:paraId="03A9493E">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highlight w:val="none"/>
          <w:lang w:val="en-US" w:eastAsia="zh-CN"/>
        </w:rPr>
      </w:pPr>
      <w:r>
        <w:rPr>
          <w:rFonts w:hint="eastAsia" w:ascii="楷体_GB2312" w:hAnsi="Times New Roman" w:eastAsia="楷体_GB2312" w:cs="Times New Roman"/>
          <w:color w:val="000000"/>
          <w:sz w:val="32"/>
          <w:szCs w:val="32"/>
          <w:highlight w:val="none"/>
          <w:lang w:val="en-US" w:eastAsia="zh-CN"/>
        </w:rPr>
        <w:t>第三条</w:t>
      </w:r>
      <w:r>
        <w:rPr>
          <w:rFonts w:ascii="仿宋" w:hAnsi="仿宋" w:eastAsia="仿宋" w:cs="仿宋"/>
          <w:b/>
          <w:bCs/>
          <w:color w:val="000000"/>
          <w:kern w:val="0"/>
          <w:sz w:val="31"/>
          <w:szCs w:val="31"/>
          <w:highlight w:val="none"/>
          <w:lang w:val="en-US" w:eastAsia="zh-CN" w:bidi="ar"/>
        </w:rPr>
        <w:t xml:space="preserve"> </w:t>
      </w:r>
      <w:r>
        <w:rPr>
          <w:rFonts w:hint="default" w:ascii="仿宋_GB2312" w:hAnsi="Times New Roman" w:eastAsia="仿宋_GB2312" w:cs="Times New Roman"/>
          <w:sz w:val="32"/>
          <w:szCs w:val="32"/>
          <w:highlight w:val="none"/>
          <w:lang w:val="en-US" w:eastAsia="zh-CN"/>
        </w:rPr>
        <w:t>理事会为薪酬管理的最高决策机构；理事会授权秘书长进行</w:t>
      </w:r>
      <w:r>
        <w:rPr>
          <w:rFonts w:hint="eastAsia" w:ascii="仿宋_GB2312" w:hAnsi="Times New Roman" w:eastAsia="仿宋_GB2312" w:cs="Times New Roman"/>
          <w:sz w:val="32"/>
          <w:szCs w:val="32"/>
          <w:highlight w:val="none"/>
          <w:lang w:val="en-US" w:eastAsia="zh-CN"/>
        </w:rPr>
        <w:t>办法</w:t>
      </w:r>
      <w:r>
        <w:rPr>
          <w:rFonts w:hint="default" w:ascii="仿宋_GB2312" w:hAnsi="Times New Roman" w:eastAsia="仿宋_GB2312" w:cs="Times New Roman"/>
          <w:sz w:val="32"/>
          <w:szCs w:val="32"/>
          <w:highlight w:val="none"/>
          <w:lang w:val="en-US" w:eastAsia="zh-CN"/>
        </w:rPr>
        <w:t>的制定和日常审批工作，综合部负责本办法的组织与实施工作；其他部门是薪酬管理的协助部门。</w:t>
      </w:r>
    </w:p>
    <w:p w14:paraId="717D654F">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第四条</w:t>
      </w:r>
      <w:r>
        <w:rPr>
          <w:rFonts w:ascii="仿宋" w:hAnsi="仿宋" w:eastAsia="仿宋" w:cs="仿宋"/>
          <w:b/>
          <w:bCs/>
          <w:color w:val="000000"/>
          <w:kern w:val="0"/>
          <w:sz w:val="31"/>
          <w:szCs w:val="31"/>
          <w:lang w:val="en-US" w:eastAsia="zh-CN" w:bidi="ar"/>
        </w:rPr>
        <w:t xml:space="preserve"> </w:t>
      </w:r>
      <w:r>
        <w:rPr>
          <w:rFonts w:hint="eastAsia" w:ascii="仿宋_GB2312" w:hAnsi="Times New Roman" w:eastAsia="仿宋_GB2312" w:cs="Times New Roman"/>
          <w:sz w:val="32"/>
          <w:szCs w:val="32"/>
          <w:lang w:val="en-US" w:eastAsia="zh-CN"/>
        </w:rPr>
        <w:t xml:space="preserve">薪酬体系设计的基本原则如下： </w:t>
      </w:r>
    </w:p>
    <w:p w14:paraId="577620EF">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w:t>
      </w:r>
      <w:r>
        <w:rPr>
          <w:rFonts w:hint="default" w:ascii="仿宋_GB2312" w:hAnsi="Times New Roman" w:eastAsia="仿宋_GB2312" w:cs="Times New Roman"/>
          <w:sz w:val="32"/>
          <w:szCs w:val="32"/>
          <w:lang w:val="en-US" w:eastAsia="zh-CN"/>
        </w:rPr>
        <w:t>一) 战略导向性原则：薪酬体系能为基金会战略</w:t>
      </w:r>
      <w:r>
        <w:rPr>
          <w:rFonts w:hint="eastAsia" w:ascii="仿宋_GB2312" w:eastAsia="仿宋_GB2312" w:cs="Times New Roman"/>
          <w:sz w:val="32"/>
          <w:szCs w:val="32"/>
          <w:lang w:val="en-US" w:eastAsia="zh-CN"/>
        </w:rPr>
        <w:t>发展</w:t>
      </w:r>
      <w:r>
        <w:rPr>
          <w:rFonts w:hint="default" w:ascii="仿宋_GB2312" w:hAnsi="Times New Roman" w:eastAsia="仿宋_GB2312" w:cs="Times New Roman"/>
          <w:sz w:val="32"/>
          <w:szCs w:val="32"/>
          <w:lang w:val="en-US" w:eastAsia="zh-CN"/>
        </w:rPr>
        <w:t>服务，为业务提供支持，并体现</w:t>
      </w:r>
      <w:r>
        <w:rPr>
          <w:rFonts w:hint="eastAsia" w:ascii="仿宋_GB2312" w:hAnsi="Times New Roman" w:eastAsia="仿宋_GB2312" w:cs="Times New Roman"/>
          <w:sz w:val="32"/>
          <w:szCs w:val="32"/>
          <w:lang w:val="en-US" w:eastAsia="zh-CN"/>
        </w:rPr>
        <w:t>基金会</w:t>
      </w:r>
      <w:r>
        <w:rPr>
          <w:rFonts w:hint="default" w:ascii="仿宋_GB2312" w:hAnsi="Times New Roman" w:eastAsia="仿宋_GB2312" w:cs="Times New Roman"/>
          <w:sz w:val="32"/>
          <w:szCs w:val="32"/>
          <w:lang w:val="en-US" w:eastAsia="zh-CN"/>
        </w:rPr>
        <w:t>的文化内涵和价值观导向。</w:t>
      </w:r>
    </w:p>
    <w:p w14:paraId="6A49721E">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(二</w:t>
      </w:r>
      <w:r>
        <w:rPr>
          <w:rFonts w:hint="default" w:ascii="仿宋_GB2312" w:hAnsi="Times New Roman" w:eastAsia="仿宋_GB2312" w:cs="Times New Roman"/>
          <w:sz w:val="32"/>
          <w:szCs w:val="32"/>
          <w:lang w:val="en-US" w:eastAsia="zh-CN"/>
        </w:rPr>
        <w:t>) 内部公平性原则：对岗位价值进行客观、全面的衡量，力争薪酬的内部公平性，内部公平性原则包括内部横向公平与纵向公平。</w:t>
      </w:r>
    </w:p>
    <w:p w14:paraId="2DEF306C">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(三</w:t>
      </w:r>
      <w:r>
        <w:rPr>
          <w:rFonts w:hint="default" w:ascii="仿宋_GB2312" w:hAnsi="Times New Roman" w:eastAsia="仿宋_GB2312" w:cs="Times New Roman"/>
          <w:sz w:val="32"/>
          <w:szCs w:val="32"/>
          <w:lang w:val="en-US" w:eastAsia="zh-CN"/>
        </w:rPr>
        <w:t>) 外部竞争性原则：基金会薪酬</w:t>
      </w:r>
      <w:r>
        <w:rPr>
          <w:rFonts w:hint="eastAsia" w:ascii="仿宋_GB2312" w:hAnsi="Times New Roman" w:eastAsia="仿宋_GB2312" w:cs="Times New Roman"/>
          <w:sz w:val="32"/>
          <w:szCs w:val="32"/>
          <w:lang w:val="en-US" w:eastAsia="zh-CN"/>
        </w:rPr>
        <w:t>管理办法</w:t>
      </w:r>
      <w:r>
        <w:rPr>
          <w:rFonts w:hint="default" w:ascii="仿宋_GB2312" w:hAnsi="Times New Roman" w:eastAsia="仿宋_GB2312" w:cs="Times New Roman"/>
          <w:sz w:val="32"/>
          <w:szCs w:val="32"/>
          <w:lang w:val="en-US" w:eastAsia="zh-CN"/>
        </w:rPr>
        <w:t>遵循市场化理念，基于与基金会的行业地位相匹配的市场水平进行设计，力求在同类型</w:t>
      </w:r>
      <w:r>
        <w:rPr>
          <w:rFonts w:hint="eastAsia" w:ascii="仿宋_GB2312" w:hAnsi="Times New Roman" w:eastAsia="仿宋_GB2312" w:cs="Times New Roman"/>
          <w:sz w:val="32"/>
          <w:szCs w:val="32"/>
          <w:lang w:val="en-US" w:eastAsia="zh-CN"/>
        </w:rPr>
        <w:t>基金会</w:t>
      </w:r>
      <w:r>
        <w:rPr>
          <w:rFonts w:hint="default" w:ascii="仿宋_GB2312" w:hAnsi="Times New Roman" w:eastAsia="仿宋_GB2312" w:cs="Times New Roman"/>
          <w:sz w:val="32"/>
          <w:szCs w:val="32"/>
          <w:lang w:val="en-US" w:eastAsia="zh-CN"/>
        </w:rPr>
        <w:t>中具备外部市场竞争力。</w:t>
      </w:r>
    </w:p>
    <w:p w14:paraId="548EE8A1">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(四</w:t>
      </w:r>
      <w:r>
        <w:rPr>
          <w:rFonts w:hint="default" w:ascii="仿宋_GB2312" w:hAnsi="Times New Roman" w:eastAsia="仿宋_GB2312" w:cs="Times New Roman"/>
          <w:sz w:val="32"/>
          <w:szCs w:val="32"/>
          <w:lang w:val="en-US" w:eastAsia="zh-CN"/>
        </w:rPr>
        <w:t>) 激励性原则：逐步建立以岗位价值为核心的薪酬体系，以贡献度为核心的激励体系。</w:t>
      </w:r>
    </w:p>
    <w:p w14:paraId="5D152653">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(五</w:t>
      </w:r>
      <w:r>
        <w:rPr>
          <w:rFonts w:hint="default" w:ascii="仿宋_GB2312" w:hAnsi="Times New Roman" w:eastAsia="仿宋_GB2312" w:cs="Times New Roman"/>
          <w:sz w:val="32"/>
          <w:szCs w:val="32"/>
          <w:lang w:val="en-US" w:eastAsia="zh-CN"/>
        </w:rPr>
        <w:t>) 经济性原则：为确保基金会的可持续发展，基金会人员薪酬应遵循国家</w:t>
      </w:r>
      <w:r>
        <w:rPr>
          <w:rFonts w:hint="eastAsia" w:ascii="仿宋_GB2312" w:hAnsi="Times New Roman" w:eastAsia="仿宋_GB2312" w:cs="Times New Roman"/>
          <w:sz w:val="32"/>
          <w:szCs w:val="32"/>
          <w:lang w:val="en-US" w:eastAsia="zh-CN"/>
        </w:rPr>
        <w:t xml:space="preserve">法律政策之规定，充分考虑基金会的支付能力，有效控制人力成本 </w:t>
      </w:r>
      <w:r>
        <w:rPr>
          <w:rFonts w:hint="default" w:ascii="仿宋_GB2312" w:hAnsi="Times New Roman" w:eastAsia="仿宋_GB2312" w:cs="Times New Roman"/>
          <w:sz w:val="32"/>
          <w:szCs w:val="32"/>
          <w:lang w:val="en-US" w:eastAsia="zh-CN"/>
        </w:rPr>
        <w:t>。</w:t>
      </w:r>
    </w:p>
    <w:p w14:paraId="2023D244">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(六</w:t>
      </w:r>
      <w:r>
        <w:rPr>
          <w:rFonts w:hint="default" w:ascii="仿宋_GB2312" w:hAnsi="Times New Roman" w:eastAsia="仿宋_GB2312" w:cs="Times New Roman"/>
          <w:sz w:val="32"/>
          <w:szCs w:val="32"/>
          <w:lang w:val="en-US" w:eastAsia="zh-CN"/>
        </w:rPr>
        <w:t>) 薪酬保密政策：基金会实行薪酬保密政策。涉薪人员应严格遵守保密制度，主动维护薪酬数据的安全。任何员工未经授权，不得向他人透露本人的薪酬数据。</w:t>
      </w:r>
    </w:p>
    <w:p w14:paraId="5B1DE8BC">
      <w:pPr>
        <w:keepNext w:val="0"/>
        <w:keepLines w:val="0"/>
        <w:widowControl/>
        <w:suppressLineNumbers w:val="0"/>
        <w:jc w:val="left"/>
        <w:rPr>
          <w:rFonts w:hint="default" w:ascii="仿宋_GB2312" w:hAnsi="Times New Roman" w:eastAsia="仿宋_GB2312" w:cs="Times New Roman"/>
          <w:sz w:val="32"/>
          <w:szCs w:val="32"/>
          <w:lang w:val="en-US" w:eastAsia="zh-CN"/>
        </w:rPr>
      </w:pPr>
    </w:p>
    <w:p w14:paraId="1B65ABE2">
      <w:pPr>
        <w:spacing w:line="560" w:lineRule="exact"/>
        <w:jc w:val="center"/>
        <w:rPr>
          <w:rFonts w:hint="eastAsia" w:ascii="黑体" w:hAnsi="黑体" w:eastAsia="黑体" w:cs="Times New Roman"/>
          <w:color w:val="000000"/>
          <w:sz w:val="32"/>
          <w:szCs w:val="32"/>
          <w:lang w:val="en-US" w:eastAsia="zh-CN"/>
        </w:rPr>
      </w:pPr>
      <w:r>
        <w:rPr>
          <w:rFonts w:hint="eastAsia" w:ascii="黑体" w:hAnsi="黑体" w:eastAsia="黑体" w:cs="Times New Roman"/>
          <w:color w:val="000000"/>
          <w:sz w:val="32"/>
          <w:szCs w:val="32"/>
          <w:lang w:val="en-US" w:eastAsia="zh-CN"/>
        </w:rPr>
        <w:t>第二章 职级管理</w:t>
      </w:r>
    </w:p>
    <w:p w14:paraId="5FF6AD23">
      <w:pPr>
        <w:keepNext w:val="0"/>
        <w:keepLines w:val="0"/>
        <w:widowControl/>
        <w:suppressLineNumbers w:val="0"/>
        <w:jc w:val="center"/>
        <w:rPr>
          <w:rFonts w:hint="eastAsia" w:ascii="楷体_GB2312" w:hAnsi="Times New Roman" w:eastAsia="楷体_GB2312" w:cs="Times New Roman"/>
          <w:color w:val="000000"/>
          <w:sz w:val="32"/>
          <w:szCs w:val="32"/>
          <w:lang w:val="en-US" w:eastAsia="zh-CN"/>
        </w:rPr>
      </w:pPr>
      <w:r>
        <w:rPr>
          <w:rFonts w:hint="eastAsia" w:ascii="楷体_GB2312" w:hAnsi="Times New Roman" w:eastAsia="楷体_GB2312" w:cs="Times New Roman"/>
          <w:color w:val="000000"/>
          <w:sz w:val="32"/>
          <w:szCs w:val="32"/>
          <w:lang w:val="en-US" w:eastAsia="zh-CN"/>
        </w:rPr>
        <w:t>第一节 职级管理职责分工</w:t>
      </w:r>
    </w:p>
    <w:p w14:paraId="7FBEC743">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第五条</w:t>
      </w:r>
      <w:r>
        <w:rPr>
          <w:rFonts w:hint="eastAsia" w:ascii="宋体" w:hAnsi="宋体" w:eastAsia="宋体" w:cs="宋体"/>
          <w:b/>
          <w:bCs/>
          <w:color w:val="000000"/>
          <w:kern w:val="0"/>
          <w:sz w:val="28"/>
          <w:szCs w:val="28"/>
          <w:highlight w:val="none"/>
          <w:lang w:val="en-US" w:eastAsia="zh-CN" w:bidi="ar"/>
        </w:rPr>
        <w:t xml:space="preserve"> </w:t>
      </w:r>
      <w:r>
        <w:rPr>
          <w:rFonts w:hint="eastAsia" w:ascii="仿宋_GB2312" w:hAnsi="Times New Roman" w:eastAsia="仿宋_GB2312" w:cs="Times New Roman"/>
          <w:sz w:val="32"/>
          <w:szCs w:val="32"/>
          <w:highlight w:val="none"/>
          <w:lang w:val="en-US" w:eastAsia="zh-CN"/>
        </w:rPr>
        <w:t>基金会理事长办公会</w:t>
      </w:r>
      <w:r>
        <w:rPr>
          <w:rFonts w:hint="eastAsia" w:ascii="仿宋_GB2312" w:eastAsia="仿宋_GB2312" w:cs="Times New Roman"/>
          <w:sz w:val="32"/>
          <w:szCs w:val="32"/>
          <w:highlight w:val="none"/>
          <w:lang w:val="en-US" w:eastAsia="zh-CN"/>
        </w:rPr>
        <w:t>议</w:t>
      </w:r>
      <w:r>
        <w:rPr>
          <w:rFonts w:hint="eastAsia" w:ascii="仿宋_GB2312" w:hAnsi="Times New Roman" w:eastAsia="仿宋_GB2312" w:cs="Times New Roman"/>
          <w:sz w:val="32"/>
          <w:szCs w:val="32"/>
          <w:highlight w:val="none"/>
          <w:lang w:val="en-US" w:eastAsia="zh-CN"/>
        </w:rPr>
        <w:t>是职</w:t>
      </w:r>
      <w:r>
        <w:rPr>
          <w:rFonts w:hint="eastAsia" w:ascii="仿宋_GB2312" w:hAnsi="Times New Roman" w:eastAsia="仿宋_GB2312" w:cs="Times New Roman"/>
          <w:sz w:val="32"/>
          <w:szCs w:val="32"/>
          <w:lang w:val="en-US" w:eastAsia="zh-CN"/>
        </w:rPr>
        <w:t xml:space="preserve">级管理的最高决策与管理机构，确定基金会的组织架构，对理事长、秘书长及各部门的人事管理职责和权限进行分工及授权并负责职级管理工作的指导和决策。综合部是基金会岗位直接管理的归口管理部门和日常执行部门，直接负责基金会职级管理的组织，主要职责如下： </w:t>
      </w:r>
    </w:p>
    <w:p w14:paraId="62FB4288">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 xml:space="preserve">(一) 负责设计并维护岗位职级体系，拟定岗位职级管理办法及相关实施细则； </w:t>
      </w:r>
    </w:p>
    <w:p w14:paraId="326AA67B">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 xml:space="preserve">(二) 负责岗位职级评定政策宣贯、组织和实施工作； </w:t>
      </w:r>
    </w:p>
    <w:p w14:paraId="302DED80">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(三) 建立岗位职级档案，岗位职级评定资料整理、归档；各部门负责人明确部门内的各岗位职级胜任能力标准，提出部门内各岗位胜任能力标准。</w:t>
      </w:r>
    </w:p>
    <w:p w14:paraId="29CB4A54">
      <w:pPr>
        <w:keepNext w:val="0"/>
        <w:keepLines w:val="0"/>
        <w:widowControl/>
        <w:suppressLineNumbers w:val="0"/>
        <w:jc w:val="left"/>
        <w:rPr>
          <w:rFonts w:hint="eastAsia" w:ascii="仿宋_GB2312" w:hAnsi="Times New Roman" w:eastAsia="仿宋_GB2312" w:cs="Times New Roman"/>
          <w:sz w:val="32"/>
          <w:szCs w:val="32"/>
          <w:lang w:val="en-US" w:eastAsia="zh-CN"/>
        </w:rPr>
      </w:pPr>
    </w:p>
    <w:p w14:paraId="0AFC17E1">
      <w:pPr>
        <w:keepNext w:val="0"/>
        <w:keepLines w:val="0"/>
        <w:widowControl/>
        <w:suppressLineNumbers w:val="0"/>
        <w:jc w:val="center"/>
        <w:rPr>
          <w:rFonts w:hint="eastAsia" w:ascii="楷体_GB2312" w:hAnsi="Times New Roman" w:eastAsia="楷体_GB2312" w:cs="Times New Roman"/>
          <w:color w:val="000000"/>
          <w:sz w:val="32"/>
          <w:szCs w:val="32"/>
          <w:lang w:val="en-US" w:eastAsia="zh-CN"/>
        </w:rPr>
      </w:pPr>
      <w:r>
        <w:rPr>
          <w:rFonts w:hint="eastAsia" w:ascii="楷体_GB2312" w:hAnsi="Times New Roman" w:eastAsia="楷体_GB2312" w:cs="Times New Roman"/>
          <w:color w:val="000000"/>
          <w:sz w:val="32"/>
          <w:szCs w:val="32"/>
          <w:lang w:val="en-US" w:eastAsia="zh-CN"/>
        </w:rPr>
        <w:t>第二节 职级体系</w:t>
      </w:r>
    </w:p>
    <w:p w14:paraId="1D6F312B">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第六条</w:t>
      </w:r>
      <w:r>
        <w:rPr>
          <w:rFonts w:hint="eastAsia" w:ascii="仿宋" w:hAnsi="仿宋" w:eastAsia="仿宋" w:cs="仿宋"/>
          <w:b/>
          <w:bCs/>
          <w:color w:val="000000"/>
          <w:kern w:val="0"/>
          <w:sz w:val="28"/>
          <w:szCs w:val="28"/>
          <w:lang w:val="en-US" w:eastAsia="zh-CN" w:bidi="ar"/>
        </w:rPr>
        <w:t xml:space="preserve"> </w:t>
      </w:r>
      <w:r>
        <w:rPr>
          <w:rFonts w:hint="eastAsia" w:ascii="仿宋_GB2312" w:hAnsi="Times New Roman" w:eastAsia="仿宋_GB2312" w:cs="Times New Roman"/>
          <w:sz w:val="32"/>
          <w:szCs w:val="32"/>
          <w:lang w:val="en-US" w:eastAsia="zh-CN"/>
        </w:rPr>
        <w:t>根据工作性质的差异，员工岗位分为管理类、职能类、项目类3个序列：</w:t>
      </w:r>
    </w:p>
    <w:p w14:paraId="0200896E">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（一）管理类岗位：主要履行管理职责，通过带领团队为基金会创造社会价值。典型的管理类岗位包括理事长/副理事长/理事长助理、秘书长/副秘书长/秘书长助理、中心主任/副主任/主任助理等。</w:t>
      </w:r>
    </w:p>
    <w:p w14:paraId="5B91F121">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（二）职能类岗位: 确保基金会运营的必须岗位。具备完成工作所需的相关流程、专业知识 , 通过个人来完成工作和做贡献,主要分布在各职能中心。典型的职能类岗位包括资深职员、职员等。</w:t>
      </w:r>
    </w:p>
    <w:p w14:paraId="424AC58D">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（三）项目类岗位：承担公益慈善项目的筹款、开发、传播、运营、维护等性质的岗位。典型的项目类岗位包括项目专员、项目主管等。</w:t>
      </w:r>
    </w:p>
    <w:p w14:paraId="31B29D40">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第七条</w:t>
      </w:r>
      <w:r>
        <w:rPr>
          <w:rFonts w:hint="eastAsia" w:ascii="仿宋" w:hAnsi="仿宋" w:eastAsia="仿宋" w:cs="仿宋"/>
          <w:b/>
          <w:bCs/>
          <w:color w:val="000000"/>
          <w:kern w:val="0"/>
          <w:sz w:val="28"/>
          <w:szCs w:val="28"/>
          <w:lang w:val="en-US" w:eastAsia="zh-CN" w:bidi="ar"/>
        </w:rPr>
        <w:t xml:space="preserve"> </w:t>
      </w:r>
      <w:r>
        <w:rPr>
          <w:rFonts w:hint="eastAsia" w:ascii="仿宋_GB2312" w:hAnsi="Times New Roman" w:eastAsia="仿宋_GB2312" w:cs="Times New Roman"/>
          <w:sz w:val="32"/>
          <w:szCs w:val="32"/>
          <w:lang w:val="en-US" w:eastAsia="zh-CN"/>
        </w:rPr>
        <w:t>根据岗位性质与价值，建立相对应的岗位职级。</w:t>
      </w:r>
    </w:p>
    <w:p w14:paraId="01EA5A23">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职级、职位表</w:t>
      </w:r>
    </w:p>
    <w:tbl>
      <w:tblPr>
        <w:tblStyle w:val="6"/>
        <w:tblW w:w="791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52"/>
        <w:gridCol w:w="2815"/>
        <w:gridCol w:w="1996"/>
        <w:gridCol w:w="1954"/>
      </w:tblGrid>
      <w:tr w14:paraId="6DD6AB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3" w:hRule="atLeast"/>
          <w:jc w:val="center"/>
        </w:trPr>
        <w:tc>
          <w:tcPr>
            <w:tcW w:w="1152" w:type="dxa"/>
            <w:tcBorders>
              <w:top w:val="single" w:color="000000" w:sz="4" w:space="0"/>
              <w:left w:val="single" w:color="000000" w:sz="4" w:space="0"/>
              <w:bottom w:val="single" w:color="000000" w:sz="4" w:space="0"/>
              <w:right w:val="single" w:color="000000" w:sz="4" w:space="0"/>
              <w:tl2br w:val="nil"/>
              <w:tr2bl w:val="nil"/>
            </w:tcBorders>
            <w:shd w:val="clear" w:color="auto" w:fill="D9D9D9"/>
            <w:vAlign w:val="center"/>
          </w:tcPr>
          <w:p w14:paraId="10B0503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黑体" w:eastAsia="仿宋_GB2312" w:cs="Times New Roman"/>
                <w:color w:val="000000"/>
                <w:szCs w:val="21"/>
                <w:lang w:val="en-US" w:eastAsia="zh-CN"/>
              </w:rPr>
            </w:pPr>
            <w:r>
              <w:rPr>
                <w:rFonts w:hint="eastAsia" w:ascii="仿宋_GB2312" w:hAnsi="黑体" w:eastAsia="仿宋_GB2312" w:cs="Times New Roman"/>
                <w:color w:val="000000"/>
                <w:szCs w:val="21"/>
                <w:lang w:val="en-US" w:eastAsia="zh-CN"/>
              </w:rPr>
              <w:t>职级</w:t>
            </w:r>
          </w:p>
        </w:tc>
        <w:tc>
          <w:tcPr>
            <w:tcW w:w="2815" w:type="dxa"/>
            <w:tcBorders>
              <w:top w:val="single" w:color="000000" w:sz="4" w:space="0"/>
              <w:left w:val="single" w:color="000000" w:sz="4" w:space="0"/>
              <w:bottom w:val="single" w:color="000000" w:sz="4" w:space="0"/>
              <w:right w:val="single" w:color="000000" w:sz="4" w:space="0"/>
              <w:tl2br w:val="nil"/>
              <w:tr2bl w:val="nil"/>
            </w:tcBorders>
            <w:shd w:val="clear" w:color="auto" w:fill="D9D9D9"/>
            <w:vAlign w:val="center"/>
          </w:tcPr>
          <w:p w14:paraId="73EF7AC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黑体" w:eastAsia="仿宋_GB2312" w:cs="Times New Roman"/>
                <w:color w:val="000000"/>
                <w:szCs w:val="21"/>
                <w:lang w:val="en-US" w:eastAsia="zh-CN"/>
              </w:rPr>
            </w:pPr>
            <w:r>
              <w:rPr>
                <w:rFonts w:hint="eastAsia" w:ascii="仿宋_GB2312" w:hAnsi="黑体" w:eastAsia="仿宋_GB2312" w:cs="Times New Roman"/>
                <w:color w:val="000000"/>
                <w:szCs w:val="21"/>
                <w:lang w:val="en-US" w:eastAsia="zh-CN"/>
              </w:rPr>
              <w:t>管理序列</w:t>
            </w:r>
          </w:p>
        </w:tc>
        <w:tc>
          <w:tcPr>
            <w:tcW w:w="1996" w:type="dxa"/>
            <w:tcBorders>
              <w:top w:val="single" w:color="000000" w:sz="4" w:space="0"/>
              <w:left w:val="single" w:color="000000" w:sz="4" w:space="0"/>
              <w:bottom w:val="single" w:color="000000" w:sz="4" w:space="0"/>
              <w:right w:val="single" w:color="000000" w:sz="4" w:space="0"/>
              <w:tl2br w:val="nil"/>
              <w:tr2bl w:val="nil"/>
            </w:tcBorders>
            <w:shd w:val="clear" w:color="auto" w:fill="D9D9D9"/>
            <w:vAlign w:val="center"/>
          </w:tcPr>
          <w:p w14:paraId="6361FE2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黑体" w:eastAsia="仿宋_GB2312" w:cs="Times New Roman"/>
                <w:color w:val="000000"/>
                <w:szCs w:val="21"/>
                <w:lang w:val="en-US" w:eastAsia="zh-CN"/>
              </w:rPr>
            </w:pPr>
            <w:r>
              <w:rPr>
                <w:rFonts w:hint="eastAsia" w:ascii="仿宋_GB2312" w:hAnsi="黑体" w:eastAsia="仿宋_GB2312" w:cs="Times New Roman"/>
                <w:color w:val="000000"/>
                <w:szCs w:val="21"/>
                <w:lang w:val="en-US" w:eastAsia="zh-CN"/>
              </w:rPr>
              <w:t>职能序列</w:t>
            </w:r>
          </w:p>
        </w:tc>
        <w:tc>
          <w:tcPr>
            <w:tcW w:w="1954" w:type="dxa"/>
            <w:tcBorders>
              <w:top w:val="single" w:color="000000" w:sz="4" w:space="0"/>
              <w:left w:val="single" w:color="000000" w:sz="4" w:space="0"/>
              <w:bottom w:val="single" w:color="000000" w:sz="4" w:space="0"/>
              <w:right w:val="single" w:color="000000" w:sz="4" w:space="0"/>
              <w:tl2br w:val="nil"/>
              <w:tr2bl w:val="nil"/>
            </w:tcBorders>
            <w:shd w:val="clear" w:color="auto" w:fill="D9D9D9"/>
            <w:vAlign w:val="center"/>
          </w:tcPr>
          <w:p w14:paraId="40CD6D6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黑体" w:eastAsia="仿宋_GB2312" w:cs="Times New Roman"/>
                <w:color w:val="000000"/>
                <w:szCs w:val="21"/>
                <w:lang w:val="en-US" w:eastAsia="zh-CN"/>
              </w:rPr>
            </w:pPr>
            <w:r>
              <w:rPr>
                <w:rFonts w:hint="eastAsia" w:ascii="仿宋_GB2312" w:hAnsi="黑体" w:eastAsia="仿宋_GB2312" w:cs="Times New Roman"/>
                <w:color w:val="000000"/>
                <w:szCs w:val="21"/>
                <w:lang w:val="en-US" w:eastAsia="zh-CN"/>
              </w:rPr>
              <w:t>项目序列</w:t>
            </w:r>
          </w:p>
        </w:tc>
      </w:tr>
      <w:tr w14:paraId="63DEA3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3" w:hRule="atLeast"/>
          <w:jc w:val="center"/>
        </w:trPr>
        <w:tc>
          <w:tcPr>
            <w:tcW w:w="1152" w:type="dxa"/>
            <w:tcBorders>
              <w:top w:val="single" w:color="000000" w:sz="4" w:space="0"/>
              <w:left w:val="single" w:color="000000" w:sz="4" w:space="0"/>
              <w:bottom w:val="single" w:color="000000" w:sz="4" w:space="0"/>
              <w:right w:val="single" w:color="000000" w:sz="4" w:space="0"/>
              <w:tl2br w:val="nil"/>
              <w:tr2bl w:val="nil"/>
            </w:tcBorders>
            <w:vAlign w:val="center"/>
          </w:tcPr>
          <w:p w14:paraId="3B250D8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黑体" w:eastAsia="仿宋_GB2312" w:cs="Times New Roman"/>
                <w:color w:val="000000"/>
                <w:szCs w:val="21"/>
                <w:lang w:val="en-US" w:eastAsia="zh-CN"/>
              </w:rPr>
            </w:pPr>
            <w:r>
              <w:rPr>
                <w:rFonts w:hint="eastAsia" w:ascii="仿宋_GB2312" w:hAnsi="黑体" w:eastAsia="仿宋_GB2312" w:cs="Times New Roman"/>
                <w:color w:val="000000"/>
                <w:szCs w:val="21"/>
                <w:lang w:val="en-US" w:eastAsia="zh-CN"/>
              </w:rPr>
              <w:t>12级</w:t>
            </w:r>
          </w:p>
        </w:tc>
        <w:tc>
          <w:tcPr>
            <w:tcW w:w="2815" w:type="dxa"/>
            <w:tcBorders>
              <w:top w:val="single" w:color="000000" w:sz="4" w:space="0"/>
              <w:left w:val="single" w:color="000000" w:sz="4" w:space="0"/>
              <w:bottom w:val="single" w:color="000000" w:sz="4" w:space="0"/>
              <w:right w:val="single" w:color="000000" w:sz="4" w:space="0"/>
              <w:tl2br w:val="nil"/>
              <w:tr2bl w:val="nil"/>
            </w:tcBorders>
            <w:vAlign w:val="center"/>
          </w:tcPr>
          <w:p w14:paraId="1A44816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黑体" w:eastAsia="仿宋_GB2312" w:cs="Times New Roman"/>
                <w:color w:val="000000"/>
                <w:szCs w:val="21"/>
                <w:lang w:val="en-US" w:eastAsia="zh-CN"/>
              </w:rPr>
            </w:pPr>
            <w:r>
              <w:rPr>
                <w:rFonts w:hint="eastAsia" w:ascii="仿宋_GB2312" w:hAnsi="黑体" w:eastAsia="仿宋_GB2312" w:cs="Times New Roman"/>
                <w:color w:val="000000"/>
                <w:szCs w:val="21"/>
                <w:lang w:val="en-US" w:eastAsia="zh-CN"/>
              </w:rPr>
              <w:t>理事长</w:t>
            </w:r>
          </w:p>
        </w:tc>
        <w:tc>
          <w:tcPr>
            <w:tcW w:w="1996" w:type="dxa"/>
            <w:tcBorders>
              <w:top w:val="single" w:color="000000" w:sz="4" w:space="0"/>
              <w:left w:val="single" w:color="000000" w:sz="4" w:space="0"/>
              <w:bottom w:val="single" w:color="000000" w:sz="4" w:space="0"/>
              <w:right w:val="single" w:color="000000" w:sz="4" w:space="0"/>
              <w:tl2br w:val="nil"/>
              <w:tr2bl w:val="nil"/>
            </w:tcBorders>
            <w:vAlign w:val="center"/>
          </w:tcPr>
          <w:p w14:paraId="753128D7">
            <w:pPr>
              <w:keepNext w:val="0"/>
              <w:keepLines w:val="0"/>
              <w:pageBreakBefore w:val="0"/>
              <w:widowControl w:val="0"/>
              <w:kinsoku/>
              <w:wordWrap/>
              <w:overflowPunct/>
              <w:topLinePunct w:val="0"/>
              <w:autoSpaceDE/>
              <w:autoSpaceDN/>
              <w:bidi w:val="0"/>
              <w:adjustRightInd/>
              <w:snapToGrid/>
              <w:spacing w:line="300" w:lineRule="exact"/>
              <w:ind w:firstLine="560" w:firstLineChars="200"/>
              <w:jc w:val="center"/>
              <w:textAlignment w:val="auto"/>
              <w:rPr>
                <w:rFonts w:hint="eastAsia" w:ascii="仿宋_GB2312" w:hAnsi="黑体" w:eastAsia="仿宋_GB2312" w:cs="Times New Roman"/>
                <w:color w:val="000000"/>
                <w:szCs w:val="21"/>
                <w:lang w:val="en-US" w:eastAsia="zh-CN"/>
              </w:rPr>
            </w:pPr>
          </w:p>
        </w:tc>
        <w:tc>
          <w:tcPr>
            <w:tcW w:w="1954" w:type="dxa"/>
            <w:tcBorders>
              <w:top w:val="single" w:color="000000" w:sz="4" w:space="0"/>
              <w:left w:val="single" w:color="000000" w:sz="4" w:space="0"/>
              <w:bottom w:val="single" w:color="000000" w:sz="4" w:space="0"/>
              <w:right w:val="single" w:color="000000" w:sz="4" w:space="0"/>
              <w:tl2br w:val="nil"/>
              <w:tr2bl w:val="nil"/>
            </w:tcBorders>
            <w:vAlign w:val="center"/>
          </w:tcPr>
          <w:p w14:paraId="7BA7890C">
            <w:pPr>
              <w:keepNext w:val="0"/>
              <w:keepLines w:val="0"/>
              <w:pageBreakBefore w:val="0"/>
              <w:widowControl w:val="0"/>
              <w:kinsoku/>
              <w:wordWrap/>
              <w:overflowPunct/>
              <w:topLinePunct w:val="0"/>
              <w:autoSpaceDE/>
              <w:autoSpaceDN/>
              <w:bidi w:val="0"/>
              <w:adjustRightInd/>
              <w:snapToGrid/>
              <w:spacing w:line="300" w:lineRule="exact"/>
              <w:ind w:firstLine="560" w:firstLineChars="200"/>
              <w:jc w:val="center"/>
              <w:textAlignment w:val="auto"/>
              <w:rPr>
                <w:rFonts w:hint="eastAsia" w:ascii="仿宋_GB2312" w:hAnsi="黑体" w:eastAsia="仿宋_GB2312" w:cs="Times New Roman"/>
                <w:color w:val="000000"/>
                <w:szCs w:val="21"/>
                <w:lang w:val="en-US" w:eastAsia="zh-CN"/>
              </w:rPr>
            </w:pPr>
          </w:p>
        </w:tc>
      </w:tr>
      <w:tr w14:paraId="13136C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3" w:hRule="atLeast"/>
          <w:jc w:val="center"/>
        </w:trPr>
        <w:tc>
          <w:tcPr>
            <w:tcW w:w="1152" w:type="dxa"/>
            <w:tcBorders>
              <w:top w:val="single" w:color="000000" w:sz="4" w:space="0"/>
              <w:left w:val="single" w:color="000000" w:sz="4" w:space="0"/>
              <w:bottom w:val="single" w:color="000000" w:sz="4" w:space="0"/>
              <w:right w:val="single" w:color="000000" w:sz="4" w:space="0"/>
              <w:tl2br w:val="nil"/>
              <w:tr2bl w:val="nil"/>
            </w:tcBorders>
            <w:vAlign w:val="center"/>
          </w:tcPr>
          <w:p w14:paraId="3807B3F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黑体" w:eastAsia="仿宋_GB2312" w:cs="Times New Roman"/>
                <w:color w:val="000000"/>
                <w:szCs w:val="21"/>
                <w:lang w:val="en-US" w:eastAsia="zh-CN"/>
              </w:rPr>
            </w:pPr>
            <w:r>
              <w:rPr>
                <w:rFonts w:hint="eastAsia" w:ascii="仿宋_GB2312" w:hAnsi="黑体" w:eastAsia="仿宋_GB2312" w:cs="Times New Roman"/>
                <w:color w:val="000000"/>
                <w:szCs w:val="21"/>
                <w:lang w:val="en-US" w:eastAsia="zh-CN"/>
              </w:rPr>
              <w:t>11级</w:t>
            </w:r>
          </w:p>
        </w:tc>
        <w:tc>
          <w:tcPr>
            <w:tcW w:w="2815" w:type="dxa"/>
            <w:tcBorders>
              <w:top w:val="single" w:color="000000" w:sz="4" w:space="0"/>
              <w:left w:val="single" w:color="000000" w:sz="4" w:space="0"/>
              <w:bottom w:val="single" w:color="000000" w:sz="4" w:space="0"/>
              <w:right w:val="single" w:color="000000" w:sz="4" w:space="0"/>
              <w:tl2br w:val="nil"/>
              <w:tr2bl w:val="nil"/>
            </w:tcBorders>
            <w:vAlign w:val="center"/>
          </w:tcPr>
          <w:p w14:paraId="7FD13C2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黑体" w:eastAsia="仿宋_GB2312" w:cs="Times New Roman"/>
                <w:color w:val="000000"/>
                <w:szCs w:val="21"/>
                <w:lang w:val="en-US" w:eastAsia="zh-CN"/>
              </w:rPr>
            </w:pPr>
            <w:r>
              <w:rPr>
                <w:rFonts w:hint="eastAsia" w:ascii="仿宋_GB2312" w:hAnsi="黑体" w:eastAsia="仿宋_GB2312" w:cs="Times New Roman"/>
                <w:color w:val="000000"/>
                <w:szCs w:val="21"/>
                <w:lang w:val="en-US" w:eastAsia="zh-CN"/>
              </w:rPr>
              <w:t>监事长</w:t>
            </w:r>
          </w:p>
        </w:tc>
        <w:tc>
          <w:tcPr>
            <w:tcW w:w="1996" w:type="dxa"/>
            <w:tcBorders>
              <w:top w:val="single" w:color="000000" w:sz="4" w:space="0"/>
              <w:left w:val="single" w:color="000000" w:sz="4" w:space="0"/>
              <w:bottom w:val="single" w:color="000000" w:sz="4" w:space="0"/>
              <w:right w:val="single" w:color="000000" w:sz="4" w:space="0"/>
              <w:tl2br w:val="nil"/>
              <w:tr2bl w:val="nil"/>
            </w:tcBorders>
            <w:vAlign w:val="center"/>
          </w:tcPr>
          <w:p w14:paraId="52095E8D">
            <w:pPr>
              <w:keepNext w:val="0"/>
              <w:keepLines w:val="0"/>
              <w:pageBreakBefore w:val="0"/>
              <w:widowControl w:val="0"/>
              <w:kinsoku/>
              <w:wordWrap/>
              <w:overflowPunct/>
              <w:topLinePunct w:val="0"/>
              <w:autoSpaceDE/>
              <w:autoSpaceDN/>
              <w:bidi w:val="0"/>
              <w:adjustRightInd/>
              <w:snapToGrid/>
              <w:spacing w:line="300" w:lineRule="exact"/>
              <w:ind w:firstLine="560" w:firstLineChars="200"/>
              <w:jc w:val="center"/>
              <w:textAlignment w:val="auto"/>
              <w:rPr>
                <w:rFonts w:hint="eastAsia" w:ascii="仿宋_GB2312" w:hAnsi="黑体" w:eastAsia="仿宋_GB2312" w:cs="Times New Roman"/>
                <w:color w:val="000000"/>
                <w:szCs w:val="21"/>
                <w:lang w:val="en-US" w:eastAsia="zh-CN"/>
              </w:rPr>
            </w:pPr>
          </w:p>
        </w:tc>
        <w:tc>
          <w:tcPr>
            <w:tcW w:w="1954" w:type="dxa"/>
            <w:tcBorders>
              <w:top w:val="single" w:color="000000" w:sz="4" w:space="0"/>
              <w:left w:val="single" w:color="000000" w:sz="4" w:space="0"/>
              <w:bottom w:val="single" w:color="000000" w:sz="4" w:space="0"/>
              <w:right w:val="single" w:color="000000" w:sz="4" w:space="0"/>
              <w:tl2br w:val="nil"/>
              <w:tr2bl w:val="nil"/>
            </w:tcBorders>
            <w:vAlign w:val="center"/>
          </w:tcPr>
          <w:p w14:paraId="55E45C47">
            <w:pPr>
              <w:keepNext w:val="0"/>
              <w:keepLines w:val="0"/>
              <w:pageBreakBefore w:val="0"/>
              <w:widowControl w:val="0"/>
              <w:kinsoku/>
              <w:wordWrap/>
              <w:overflowPunct/>
              <w:topLinePunct w:val="0"/>
              <w:autoSpaceDE/>
              <w:autoSpaceDN/>
              <w:bidi w:val="0"/>
              <w:adjustRightInd/>
              <w:snapToGrid/>
              <w:spacing w:line="300" w:lineRule="exact"/>
              <w:ind w:firstLine="560" w:firstLineChars="200"/>
              <w:jc w:val="center"/>
              <w:textAlignment w:val="auto"/>
              <w:rPr>
                <w:rFonts w:hint="eastAsia" w:ascii="仿宋_GB2312" w:hAnsi="黑体" w:eastAsia="仿宋_GB2312" w:cs="Times New Roman"/>
                <w:color w:val="000000"/>
                <w:szCs w:val="21"/>
                <w:lang w:val="en-US" w:eastAsia="zh-CN"/>
              </w:rPr>
            </w:pPr>
          </w:p>
        </w:tc>
      </w:tr>
      <w:tr w14:paraId="6CD03A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3" w:hRule="atLeast"/>
          <w:jc w:val="center"/>
        </w:trPr>
        <w:tc>
          <w:tcPr>
            <w:tcW w:w="1152" w:type="dxa"/>
            <w:tcBorders>
              <w:top w:val="single" w:color="000000" w:sz="4" w:space="0"/>
              <w:left w:val="single" w:color="000000" w:sz="4" w:space="0"/>
              <w:bottom w:val="single" w:color="000000" w:sz="4" w:space="0"/>
              <w:right w:val="single" w:color="000000" w:sz="4" w:space="0"/>
              <w:tl2br w:val="nil"/>
              <w:tr2bl w:val="nil"/>
            </w:tcBorders>
            <w:vAlign w:val="center"/>
          </w:tcPr>
          <w:p w14:paraId="7D9C42D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黑体" w:eastAsia="仿宋_GB2312" w:cs="Times New Roman"/>
                <w:color w:val="000000"/>
                <w:szCs w:val="21"/>
                <w:lang w:val="en-US" w:eastAsia="zh-CN"/>
              </w:rPr>
            </w:pPr>
            <w:r>
              <w:rPr>
                <w:rFonts w:hint="eastAsia" w:ascii="仿宋_GB2312" w:hAnsi="黑体" w:eastAsia="仿宋_GB2312" w:cs="Times New Roman"/>
                <w:color w:val="000000"/>
                <w:szCs w:val="21"/>
                <w:lang w:val="en-US" w:eastAsia="zh-CN"/>
              </w:rPr>
              <w:t>10级</w:t>
            </w:r>
          </w:p>
        </w:tc>
        <w:tc>
          <w:tcPr>
            <w:tcW w:w="2815" w:type="dxa"/>
            <w:tcBorders>
              <w:top w:val="single" w:color="000000" w:sz="4" w:space="0"/>
              <w:left w:val="single" w:color="000000" w:sz="4" w:space="0"/>
              <w:bottom w:val="single" w:color="000000" w:sz="4" w:space="0"/>
              <w:right w:val="single" w:color="000000" w:sz="4" w:space="0"/>
              <w:tl2br w:val="nil"/>
              <w:tr2bl w:val="nil"/>
            </w:tcBorders>
            <w:vAlign w:val="center"/>
          </w:tcPr>
          <w:p w14:paraId="1BFF1B9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黑体" w:eastAsia="仿宋_GB2312" w:cs="Times New Roman"/>
                <w:color w:val="000000"/>
                <w:szCs w:val="21"/>
                <w:lang w:val="en-US" w:eastAsia="zh-CN"/>
              </w:rPr>
            </w:pPr>
            <w:r>
              <w:rPr>
                <w:rFonts w:hint="eastAsia" w:ascii="仿宋_GB2312" w:hAnsi="黑体" w:eastAsia="仿宋_GB2312" w:cs="Times New Roman"/>
                <w:color w:val="000000"/>
                <w:szCs w:val="21"/>
                <w:lang w:val="en-US" w:eastAsia="zh-CN"/>
              </w:rPr>
              <w:t>副理事长</w:t>
            </w:r>
          </w:p>
        </w:tc>
        <w:tc>
          <w:tcPr>
            <w:tcW w:w="1996" w:type="dxa"/>
            <w:tcBorders>
              <w:top w:val="single" w:color="000000" w:sz="4" w:space="0"/>
              <w:left w:val="single" w:color="000000" w:sz="4" w:space="0"/>
              <w:bottom w:val="single" w:color="000000" w:sz="4" w:space="0"/>
              <w:right w:val="single" w:color="000000" w:sz="4" w:space="0"/>
              <w:tl2br w:val="nil"/>
              <w:tr2bl w:val="nil"/>
            </w:tcBorders>
            <w:vAlign w:val="center"/>
          </w:tcPr>
          <w:p w14:paraId="34E7C8D1">
            <w:pPr>
              <w:keepNext w:val="0"/>
              <w:keepLines w:val="0"/>
              <w:pageBreakBefore w:val="0"/>
              <w:widowControl w:val="0"/>
              <w:kinsoku/>
              <w:wordWrap/>
              <w:overflowPunct/>
              <w:topLinePunct w:val="0"/>
              <w:autoSpaceDE/>
              <w:autoSpaceDN/>
              <w:bidi w:val="0"/>
              <w:adjustRightInd/>
              <w:snapToGrid/>
              <w:spacing w:line="300" w:lineRule="exact"/>
              <w:ind w:firstLine="560" w:firstLineChars="200"/>
              <w:jc w:val="center"/>
              <w:textAlignment w:val="auto"/>
              <w:rPr>
                <w:rFonts w:hint="eastAsia" w:ascii="仿宋_GB2312" w:hAnsi="黑体" w:eastAsia="仿宋_GB2312" w:cs="Times New Roman"/>
                <w:color w:val="000000"/>
                <w:szCs w:val="21"/>
                <w:lang w:val="en-US" w:eastAsia="zh-CN"/>
              </w:rPr>
            </w:pPr>
          </w:p>
        </w:tc>
        <w:tc>
          <w:tcPr>
            <w:tcW w:w="1954" w:type="dxa"/>
            <w:tcBorders>
              <w:top w:val="single" w:color="000000" w:sz="4" w:space="0"/>
              <w:left w:val="single" w:color="000000" w:sz="4" w:space="0"/>
              <w:bottom w:val="single" w:color="000000" w:sz="4" w:space="0"/>
              <w:right w:val="single" w:color="000000" w:sz="4" w:space="0"/>
              <w:tl2br w:val="nil"/>
              <w:tr2bl w:val="nil"/>
            </w:tcBorders>
            <w:vAlign w:val="center"/>
          </w:tcPr>
          <w:p w14:paraId="75CE627C">
            <w:pPr>
              <w:keepNext w:val="0"/>
              <w:keepLines w:val="0"/>
              <w:pageBreakBefore w:val="0"/>
              <w:widowControl w:val="0"/>
              <w:kinsoku/>
              <w:wordWrap/>
              <w:overflowPunct/>
              <w:topLinePunct w:val="0"/>
              <w:autoSpaceDE/>
              <w:autoSpaceDN/>
              <w:bidi w:val="0"/>
              <w:adjustRightInd/>
              <w:snapToGrid/>
              <w:spacing w:line="300" w:lineRule="exact"/>
              <w:ind w:firstLine="560" w:firstLineChars="200"/>
              <w:jc w:val="center"/>
              <w:textAlignment w:val="auto"/>
              <w:rPr>
                <w:rFonts w:hint="eastAsia" w:ascii="仿宋_GB2312" w:hAnsi="黑体" w:eastAsia="仿宋_GB2312" w:cs="Times New Roman"/>
                <w:color w:val="000000"/>
                <w:szCs w:val="21"/>
                <w:lang w:val="en-US" w:eastAsia="zh-CN"/>
              </w:rPr>
            </w:pPr>
          </w:p>
        </w:tc>
      </w:tr>
      <w:tr w14:paraId="0508D7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3" w:hRule="atLeast"/>
          <w:jc w:val="center"/>
        </w:trPr>
        <w:tc>
          <w:tcPr>
            <w:tcW w:w="1152" w:type="dxa"/>
            <w:tcBorders>
              <w:top w:val="single" w:color="000000" w:sz="4" w:space="0"/>
              <w:left w:val="single" w:color="000000" w:sz="4" w:space="0"/>
              <w:bottom w:val="single" w:color="000000" w:sz="4" w:space="0"/>
              <w:right w:val="single" w:color="000000" w:sz="4" w:space="0"/>
              <w:tl2br w:val="nil"/>
              <w:tr2bl w:val="nil"/>
            </w:tcBorders>
            <w:vAlign w:val="center"/>
          </w:tcPr>
          <w:p w14:paraId="232C9DE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黑体" w:eastAsia="仿宋_GB2312" w:cs="Times New Roman"/>
                <w:color w:val="000000"/>
                <w:szCs w:val="21"/>
                <w:lang w:val="en-US" w:eastAsia="zh-CN"/>
              </w:rPr>
            </w:pPr>
            <w:r>
              <w:rPr>
                <w:rFonts w:hint="eastAsia" w:ascii="仿宋_GB2312" w:hAnsi="黑体" w:eastAsia="仿宋_GB2312" w:cs="Times New Roman"/>
                <w:color w:val="000000"/>
                <w:szCs w:val="21"/>
                <w:lang w:val="en-US" w:eastAsia="zh-CN"/>
              </w:rPr>
              <w:t>9级</w:t>
            </w:r>
          </w:p>
        </w:tc>
        <w:tc>
          <w:tcPr>
            <w:tcW w:w="2815" w:type="dxa"/>
            <w:tcBorders>
              <w:top w:val="single" w:color="000000" w:sz="4" w:space="0"/>
              <w:left w:val="single" w:color="000000" w:sz="4" w:space="0"/>
              <w:bottom w:val="single" w:color="000000" w:sz="4" w:space="0"/>
              <w:right w:val="single" w:color="000000" w:sz="4" w:space="0"/>
              <w:tl2br w:val="nil"/>
              <w:tr2bl w:val="nil"/>
            </w:tcBorders>
            <w:vAlign w:val="center"/>
          </w:tcPr>
          <w:p w14:paraId="6E1FDC1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黑体" w:eastAsia="仿宋_GB2312" w:cs="Times New Roman"/>
                <w:color w:val="000000"/>
                <w:szCs w:val="21"/>
                <w:lang w:val="en-US" w:eastAsia="zh-CN"/>
              </w:rPr>
            </w:pPr>
            <w:r>
              <w:rPr>
                <w:rFonts w:hint="eastAsia" w:ascii="仿宋_GB2312" w:hAnsi="黑体" w:eastAsia="仿宋_GB2312" w:cs="Times New Roman"/>
                <w:color w:val="000000"/>
                <w:szCs w:val="21"/>
                <w:lang w:val="en-US" w:eastAsia="zh-CN"/>
              </w:rPr>
              <w:t>理事长助理</w:t>
            </w:r>
          </w:p>
        </w:tc>
        <w:tc>
          <w:tcPr>
            <w:tcW w:w="1996" w:type="dxa"/>
            <w:tcBorders>
              <w:top w:val="single" w:color="000000" w:sz="4" w:space="0"/>
              <w:left w:val="single" w:color="000000" w:sz="4" w:space="0"/>
              <w:bottom w:val="single" w:color="000000" w:sz="4" w:space="0"/>
              <w:right w:val="single" w:color="000000" w:sz="4" w:space="0"/>
              <w:tl2br w:val="nil"/>
              <w:tr2bl w:val="nil"/>
            </w:tcBorders>
            <w:vAlign w:val="center"/>
          </w:tcPr>
          <w:p w14:paraId="6359C004">
            <w:pPr>
              <w:keepNext w:val="0"/>
              <w:keepLines w:val="0"/>
              <w:pageBreakBefore w:val="0"/>
              <w:widowControl w:val="0"/>
              <w:kinsoku/>
              <w:wordWrap/>
              <w:overflowPunct/>
              <w:topLinePunct w:val="0"/>
              <w:autoSpaceDE/>
              <w:autoSpaceDN/>
              <w:bidi w:val="0"/>
              <w:adjustRightInd/>
              <w:snapToGrid/>
              <w:spacing w:line="300" w:lineRule="exact"/>
              <w:ind w:firstLine="560" w:firstLineChars="200"/>
              <w:jc w:val="center"/>
              <w:textAlignment w:val="auto"/>
              <w:rPr>
                <w:rFonts w:hint="eastAsia" w:ascii="仿宋_GB2312" w:hAnsi="黑体" w:eastAsia="仿宋_GB2312" w:cs="Times New Roman"/>
                <w:color w:val="000000"/>
                <w:szCs w:val="21"/>
                <w:lang w:val="en-US" w:eastAsia="zh-CN"/>
              </w:rPr>
            </w:pPr>
          </w:p>
        </w:tc>
        <w:tc>
          <w:tcPr>
            <w:tcW w:w="1954" w:type="dxa"/>
            <w:tcBorders>
              <w:top w:val="single" w:color="000000" w:sz="4" w:space="0"/>
              <w:left w:val="single" w:color="000000" w:sz="4" w:space="0"/>
              <w:bottom w:val="single" w:color="000000" w:sz="4" w:space="0"/>
              <w:right w:val="single" w:color="000000" w:sz="4" w:space="0"/>
              <w:tl2br w:val="nil"/>
              <w:tr2bl w:val="nil"/>
            </w:tcBorders>
            <w:vAlign w:val="center"/>
          </w:tcPr>
          <w:p w14:paraId="0B4D659A">
            <w:pPr>
              <w:keepNext w:val="0"/>
              <w:keepLines w:val="0"/>
              <w:pageBreakBefore w:val="0"/>
              <w:widowControl w:val="0"/>
              <w:kinsoku/>
              <w:wordWrap/>
              <w:overflowPunct/>
              <w:topLinePunct w:val="0"/>
              <w:autoSpaceDE/>
              <w:autoSpaceDN/>
              <w:bidi w:val="0"/>
              <w:adjustRightInd/>
              <w:snapToGrid/>
              <w:spacing w:line="300" w:lineRule="exact"/>
              <w:ind w:firstLine="560" w:firstLineChars="200"/>
              <w:jc w:val="center"/>
              <w:textAlignment w:val="auto"/>
              <w:rPr>
                <w:rFonts w:hint="eastAsia" w:ascii="仿宋_GB2312" w:hAnsi="黑体" w:eastAsia="仿宋_GB2312" w:cs="Times New Roman"/>
                <w:color w:val="000000"/>
                <w:szCs w:val="21"/>
                <w:lang w:val="en-US" w:eastAsia="zh-CN"/>
              </w:rPr>
            </w:pPr>
          </w:p>
        </w:tc>
      </w:tr>
      <w:tr w14:paraId="14AD6E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3" w:hRule="atLeast"/>
          <w:jc w:val="center"/>
        </w:trPr>
        <w:tc>
          <w:tcPr>
            <w:tcW w:w="1152" w:type="dxa"/>
            <w:tcBorders>
              <w:top w:val="single" w:color="000000" w:sz="4" w:space="0"/>
              <w:left w:val="single" w:color="000000" w:sz="4" w:space="0"/>
              <w:bottom w:val="single" w:color="000000" w:sz="4" w:space="0"/>
              <w:right w:val="single" w:color="000000" w:sz="4" w:space="0"/>
              <w:tl2br w:val="nil"/>
              <w:tr2bl w:val="nil"/>
            </w:tcBorders>
            <w:vAlign w:val="center"/>
          </w:tcPr>
          <w:p w14:paraId="076B930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黑体" w:eastAsia="仿宋_GB2312" w:cs="Times New Roman"/>
                <w:color w:val="000000"/>
                <w:szCs w:val="21"/>
                <w:lang w:val="en-US" w:eastAsia="zh-CN"/>
              </w:rPr>
            </w:pPr>
            <w:r>
              <w:rPr>
                <w:rFonts w:hint="eastAsia" w:ascii="仿宋_GB2312" w:hAnsi="黑体" w:eastAsia="仿宋_GB2312" w:cs="Times New Roman"/>
                <w:color w:val="000000"/>
                <w:szCs w:val="21"/>
                <w:lang w:val="en-US" w:eastAsia="zh-CN"/>
              </w:rPr>
              <w:t>8级</w:t>
            </w:r>
          </w:p>
        </w:tc>
        <w:tc>
          <w:tcPr>
            <w:tcW w:w="2815" w:type="dxa"/>
            <w:tcBorders>
              <w:top w:val="single" w:color="000000" w:sz="4" w:space="0"/>
              <w:left w:val="single" w:color="000000" w:sz="4" w:space="0"/>
              <w:bottom w:val="single" w:color="000000" w:sz="4" w:space="0"/>
              <w:right w:val="single" w:color="000000" w:sz="4" w:space="0"/>
              <w:tl2br w:val="nil"/>
              <w:tr2bl w:val="nil"/>
            </w:tcBorders>
            <w:vAlign w:val="center"/>
          </w:tcPr>
          <w:p w14:paraId="6E89AFF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黑体" w:eastAsia="仿宋_GB2312" w:cs="Times New Roman"/>
                <w:color w:val="000000"/>
                <w:szCs w:val="21"/>
                <w:lang w:val="en-US" w:eastAsia="zh-CN"/>
              </w:rPr>
            </w:pPr>
            <w:r>
              <w:rPr>
                <w:rFonts w:hint="eastAsia" w:ascii="仿宋_GB2312" w:hAnsi="黑体" w:eastAsia="仿宋_GB2312" w:cs="Times New Roman"/>
                <w:color w:val="000000"/>
                <w:szCs w:val="21"/>
                <w:lang w:val="en-US" w:eastAsia="zh-CN"/>
              </w:rPr>
              <w:t>秘书长</w:t>
            </w:r>
          </w:p>
        </w:tc>
        <w:tc>
          <w:tcPr>
            <w:tcW w:w="1996" w:type="dxa"/>
            <w:tcBorders>
              <w:top w:val="single" w:color="000000" w:sz="4" w:space="0"/>
              <w:left w:val="single" w:color="000000" w:sz="4" w:space="0"/>
              <w:bottom w:val="single" w:color="000000" w:sz="4" w:space="0"/>
              <w:right w:val="single" w:color="000000" w:sz="4" w:space="0"/>
              <w:tl2br w:val="nil"/>
              <w:tr2bl w:val="nil"/>
            </w:tcBorders>
            <w:vAlign w:val="center"/>
          </w:tcPr>
          <w:p w14:paraId="78C7B957">
            <w:pPr>
              <w:keepNext w:val="0"/>
              <w:keepLines w:val="0"/>
              <w:pageBreakBefore w:val="0"/>
              <w:widowControl w:val="0"/>
              <w:kinsoku/>
              <w:wordWrap/>
              <w:overflowPunct/>
              <w:topLinePunct w:val="0"/>
              <w:autoSpaceDE/>
              <w:autoSpaceDN/>
              <w:bidi w:val="0"/>
              <w:adjustRightInd/>
              <w:snapToGrid/>
              <w:spacing w:line="300" w:lineRule="exact"/>
              <w:ind w:firstLine="560" w:firstLineChars="200"/>
              <w:jc w:val="center"/>
              <w:textAlignment w:val="auto"/>
              <w:rPr>
                <w:rFonts w:hint="eastAsia" w:ascii="仿宋_GB2312" w:hAnsi="黑体" w:eastAsia="仿宋_GB2312" w:cs="Times New Roman"/>
                <w:color w:val="000000"/>
                <w:szCs w:val="21"/>
                <w:lang w:val="en-US" w:eastAsia="zh-CN"/>
              </w:rPr>
            </w:pPr>
          </w:p>
        </w:tc>
        <w:tc>
          <w:tcPr>
            <w:tcW w:w="1954" w:type="dxa"/>
            <w:tcBorders>
              <w:top w:val="single" w:color="000000" w:sz="4" w:space="0"/>
              <w:left w:val="single" w:color="000000" w:sz="4" w:space="0"/>
              <w:bottom w:val="single" w:color="000000" w:sz="4" w:space="0"/>
              <w:right w:val="single" w:color="000000" w:sz="4" w:space="0"/>
              <w:tl2br w:val="nil"/>
              <w:tr2bl w:val="nil"/>
            </w:tcBorders>
            <w:vAlign w:val="center"/>
          </w:tcPr>
          <w:p w14:paraId="719E666B">
            <w:pPr>
              <w:keepNext w:val="0"/>
              <w:keepLines w:val="0"/>
              <w:pageBreakBefore w:val="0"/>
              <w:widowControl w:val="0"/>
              <w:kinsoku/>
              <w:wordWrap/>
              <w:overflowPunct/>
              <w:topLinePunct w:val="0"/>
              <w:autoSpaceDE/>
              <w:autoSpaceDN/>
              <w:bidi w:val="0"/>
              <w:adjustRightInd/>
              <w:snapToGrid/>
              <w:spacing w:line="300" w:lineRule="exact"/>
              <w:ind w:firstLine="560" w:firstLineChars="200"/>
              <w:jc w:val="center"/>
              <w:textAlignment w:val="auto"/>
              <w:rPr>
                <w:rFonts w:hint="eastAsia" w:ascii="仿宋_GB2312" w:hAnsi="黑体" w:eastAsia="仿宋_GB2312" w:cs="Times New Roman"/>
                <w:color w:val="000000"/>
                <w:szCs w:val="21"/>
                <w:lang w:val="en-US" w:eastAsia="zh-CN"/>
              </w:rPr>
            </w:pPr>
          </w:p>
        </w:tc>
      </w:tr>
      <w:tr w14:paraId="3A6413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3" w:hRule="atLeast"/>
          <w:jc w:val="center"/>
        </w:trPr>
        <w:tc>
          <w:tcPr>
            <w:tcW w:w="1152" w:type="dxa"/>
            <w:tcBorders>
              <w:top w:val="single" w:color="000000" w:sz="4" w:space="0"/>
              <w:left w:val="single" w:color="000000" w:sz="4" w:space="0"/>
              <w:bottom w:val="single" w:color="000000" w:sz="4" w:space="0"/>
              <w:right w:val="single" w:color="000000" w:sz="4" w:space="0"/>
              <w:tl2br w:val="nil"/>
              <w:tr2bl w:val="nil"/>
            </w:tcBorders>
            <w:vAlign w:val="center"/>
          </w:tcPr>
          <w:p w14:paraId="194B920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黑体" w:eastAsia="仿宋_GB2312" w:cs="Times New Roman"/>
                <w:color w:val="000000"/>
                <w:szCs w:val="21"/>
                <w:lang w:val="en-US" w:eastAsia="zh-CN"/>
              </w:rPr>
            </w:pPr>
            <w:r>
              <w:rPr>
                <w:rFonts w:hint="eastAsia" w:ascii="仿宋_GB2312" w:hAnsi="黑体" w:eastAsia="仿宋_GB2312" w:cs="Times New Roman"/>
                <w:color w:val="000000"/>
                <w:szCs w:val="21"/>
                <w:lang w:val="en-US" w:eastAsia="zh-CN"/>
              </w:rPr>
              <w:t>7级</w:t>
            </w:r>
          </w:p>
        </w:tc>
        <w:tc>
          <w:tcPr>
            <w:tcW w:w="2815" w:type="dxa"/>
            <w:tcBorders>
              <w:top w:val="single" w:color="000000" w:sz="4" w:space="0"/>
              <w:left w:val="single" w:color="000000" w:sz="4" w:space="0"/>
              <w:bottom w:val="single" w:color="000000" w:sz="4" w:space="0"/>
              <w:right w:val="single" w:color="000000" w:sz="4" w:space="0"/>
              <w:tl2br w:val="nil"/>
              <w:tr2bl w:val="nil"/>
            </w:tcBorders>
            <w:vAlign w:val="center"/>
          </w:tcPr>
          <w:p w14:paraId="2C5C0A0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黑体" w:eastAsia="仿宋_GB2312" w:cs="Times New Roman"/>
                <w:color w:val="000000"/>
                <w:szCs w:val="21"/>
                <w:lang w:val="en-US" w:eastAsia="zh-CN"/>
              </w:rPr>
            </w:pPr>
            <w:r>
              <w:rPr>
                <w:rFonts w:hint="eastAsia" w:ascii="仿宋_GB2312" w:hAnsi="黑体" w:eastAsia="仿宋_GB2312" w:cs="Times New Roman"/>
                <w:color w:val="000000"/>
                <w:szCs w:val="21"/>
                <w:lang w:val="en-US" w:eastAsia="zh-CN"/>
              </w:rPr>
              <w:t>副秘书长</w:t>
            </w:r>
          </w:p>
        </w:tc>
        <w:tc>
          <w:tcPr>
            <w:tcW w:w="1996" w:type="dxa"/>
            <w:tcBorders>
              <w:top w:val="single" w:color="000000" w:sz="4" w:space="0"/>
              <w:left w:val="single" w:color="000000" w:sz="4" w:space="0"/>
              <w:bottom w:val="single" w:color="000000" w:sz="4" w:space="0"/>
              <w:right w:val="single" w:color="000000" w:sz="4" w:space="0"/>
              <w:tl2br w:val="nil"/>
              <w:tr2bl w:val="nil"/>
            </w:tcBorders>
            <w:vAlign w:val="center"/>
          </w:tcPr>
          <w:p w14:paraId="5EB472FE">
            <w:pPr>
              <w:keepNext w:val="0"/>
              <w:keepLines w:val="0"/>
              <w:pageBreakBefore w:val="0"/>
              <w:widowControl w:val="0"/>
              <w:kinsoku/>
              <w:wordWrap/>
              <w:overflowPunct/>
              <w:topLinePunct w:val="0"/>
              <w:autoSpaceDE/>
              <w:autoSpaceDN/>
              <w:bidi w:val="0"/>
              <w:adjustRightInd/>
              <w:snapToGrid/>
              <w:spacing w:line="300" w:lineRule="exact"/>
              <w:ind w:firstLine="560" w:firstLineChars="200"/>
              <w:jc w:val="center"/>
              <w:textAlignment w:val="auto"/>
              <w:rPr>
                <w:rFonts w:hint="eastAsia" w:ascii="仿宋_GB2312" w:hAnsi="黑体" w:eastAsia="仿宋_GB2312" w:cs="Times New Roman"/>
                <w:color w:val="000000"/>
                <w:szCs w:val="21"/>
                <w:lang w:val="en-US" w:eastAsia="zh-CN"/>
              </w:rPr>
            </w:pPr>
          </w:p>
        </w:tc>
        <w:tc>
          <w:tcPr>
            <w:tcW w:w="1954" w:type="dxa"/>
            <w:tcBorders>
              <w:top w:val="single" w:color="000000" w:sz="4" w:space="0"/>
              <w:left w:val="single" w:color="000000" w:sz="4" w:space="0"/>
              <w:bottom w:val="single" w:color="000000" w:sz="4" w:space="0"/>
              <w:right w:val="single" w:color="000000" w:sz="4" w:space="0"/>
              <w:tl2br w:val="nil"/>
              <w:tr2bl w:val="nil"/>
            </w:tcBorders>
            <w:vAlign w:val="center"/>
          </w:tcPr>
          <w:p w14:paraId="3C34E22B">
            <w:pPr>
              <w:keepNext w:val="0"/>
              <w:keepLines w:val="0"/>
              <w:pageBreakBefore w:val="0"/>
              <w:widowControl w:val="0"/>
              <w:kinsoku/>
              <w:wordWrap/>
              <w:overflowPunct/>
              <w:topLinePunct w:val="0"/>
              <w:autoSpaceDE/>
              <w:autoSpaceDN/>
              <w:bidi w:val="0"/>
              <w:adjustRightInd/>
              <w:snapToGrid/>
              <w:spacing w:line="300" w:lineRule="exact"/>
              <w:ind w:firstLine="560" w:firstLineChars="200"/>
              <w:jc w:val="center"/>
              <w:textAlignment w:val="auto"/>
              <w:rPr>
                <w:rFonts w:hint="eastAsia" w:ascii="仿宋_GB2312" w:hAnsi="黑体" w:eastAsia="仿宋_GB2312" w:cs="Times New Roman"/>
                <w:color w:val="000000"/>
                <w:szCs w:val="21"/>
                <w:lang w:val="en-US" w:eastAsia="zh-CN"/>
              </w:rPr>
            </w:pPr>
          </w:p>
        </w:tc>
      </w:tr>
      <w:tr w14:paraId="457515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3" w:hRule="atLeast"/>
          <w:jc w:val="center"/>
        </w:trPr>
        <w:tc>
          <w:tcPr>
            <w:tcW w:w="1152" w:type="dxa"/>
            <w:tcBorders>
              <w:top w:val="single" w:color="000000" w:sz="4" w:space="0"/>
              <w:left w:val="single" w:color="000000" w:sz="4" w:space="0"/>
              <w:bottom w:val="single" w:color="auto" w:sz="4" w:space="0"/>
              <w:right w:val="single" w:color="000000" w:sz="4" w:space="0"/>
              <w:tl2br w:val="nil"/>
              <w:tr2bl w:val="nil"/>
            </w:tcBorders>
            <w:vAlign w:val="center"/>
          </w:tcPr>
          <w:p w14:paraId="15FCE1C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黑体" w:eastAsia="仿宋_GB2312" w:cs="Times New Roman"/>
                <w:color w:val="000000"/>
                <w:szCs w:val="21"/>
                <w:lang w:val="en-US" w:eastAsia="zh-CN"/>
              </w:rPr>
            </w:pPr>
            <w:r>
              <w:rPr>
                <w:rFonts w:hint="eastAsia" w:ascii="仿宋_GB2312" w:hAnsi="黑体" w:eastAsia="仿宋_GB2312" w:cs="Times New Roman"/>
                <w:color w:val="000000"/>
                <w:szCs w:val="21"/>
                <w:lang w:val="en-US" w:eastAsia="zh-CN"/>
              </w:rPr>
              <w:t>6级</w:t>
            </w:r>
          </w:p>
        </w:tc>
        <w:tc>
          <w:tcPr>
            <w:tcW w:w="2815" w:type="dxa"/>
            <w:tcBorders>
              <w:top w:val="single" w:color="000000" w:sz="4" w:space="0"/>
              <w:left w:val="single" w:color="000000" w:sz="4" w:space="0"/>
              <w:bottom w:val="single" w:color="auto" w:sz="4" w:space="0"/>
              <w:right w:val="single" w:color="000000" w:sz="4" w:space="0"/>
              <w:tl2br w:val="nil"/>
              <w:tr2bl w:val="nil"/>
            </w:tcBorders>
            <w:vAlign w:val="center"/>
          </w:tcPr>
          <w:p w14:paraId="271C379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黑体" w:eastAsia="仿宋_GB2312" w:cs="Times New Roman"/>
                <w:color w:val="000000"/>
                <w:szCs w:val="21"/>
                <w:lang w:val="en-US" w:eastAsia="zh-CN"/>
              </w:rPr>
            </w:pPr>
            <w:r>
              <w:rPr>
                <w:rFonts w:hint="eastAsia" w:ascii="仿宋_GB2312" w:hAnsi="黑体" w:eastAsia="仿宋_GB2312" w:cs="Times New Roman"/>
                <w:color w:val="000000"/>
                <w:szCs w:val="21"/>
                <w:lang w:val="en-US" w:eastAsia="zh-CN"/>
              </w:rPr>
              <w:t>秘书长助理/部门主任</w:t>
            </w:r>
          </w:p>
        </w:tc>
        <w:tc>
          <w:tcPr>
            <w:tcW w:w="1996" w:type="dxa"/>
            <w:tcBorders>
              <w:top w:val="single" w:color="000000" w:sz="4" w:space="0"/>
              <w:left w:val="single" w:color="000000" w:sz="4" w:space="0"/>
              <w:bottom w:val="single" w:color="auto" w:sz="4" w:space="0"/>
              <w:right w:val="single" w:color="000000" w:sz="4" w:space="0"/>
              <w:tl2br w:val="nil"/>
              <w:tr2bl w:val="nil"/>
            </w:tcBorders>
            <w:vAlign w:val="center"/>
          </w:tcPr>
          <w:p w14:paraId="4C2586F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黑体" w:eastAsia="仿宋_GB2312" w:cs="Times New Roman"/>
                <w:color w:val="000000"/>
                <w:szCs w:val="21"/>
                <w:lang w:val="en-US" w:eastAsia="zh-CN"/>
              </w:rPr>
            </w:pPr>
            <w:r>
              <w:rPr>
                <w:rFonts w:hint="eastAsia" w:ascii="仿宋_GB2312" w:hAnsi="黑体" w:eastAsia="仿宋_GB2312" w:cs="Times New Roman"/>
                <w:color w:val="000000"/>
                <w:szCs w:val="21"/>
                <w:lang w:val="en-US" w:eastAsia="zh-CN"/>
              </w:rPr>
              <w:t>资深职员（B级）</w:t>
            </w:r>
          </w:p>
        </w:tc>
        <w:tc>
          <w:tcPr>
            <w:tcW w:w="1954" w:type="dxa"/>
            <w:tcBorders>
              <w:top w:val="single" w:color="000000" w:sz="4" w:space="0"/>
              <w:left w:val="single" w:color="000000" w:sz="4" w:space="0"/>
              <w:bottom w:val="single" w:color="auto" w:sz="4" w:space="0"/>
              <w:right w:val="single" w:color="000000" w:sz="4" w:space="0"/>
              <w:tl2br w:val="nil"/>
              <w:tr2bl w:val="nil"/>
            </w:tcBorders>
            <w:vAlign w:val="center"/>
          </w:tcPr>
          <w:p w14:paraId="3D40057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黑体" w:eastAsia="仿宋_GB2312" w:cs="Times New Roman"/>
                <w:color w:val="000000"/>
                <w:szCs w:val="21"/>
                <w:lang w:val="en-US" w:eastAsia="zh-CN"/>
              </w:rPr>
            </w:pPr>
            <w:r>
              <w:rPr>
                <w:rFonts w:hint="eastAsia" w:ascii="仿宋_GB2312" w:hAnsi="黑体" w:eastAsia="仿宋_GB2312" w:cs="Times New Roman"/>
                <w:color w:val="000000"/>
                <w:szCs w:val="21"/>
                <w:lang w:val="en-US" w:eastAsia="zh-CN"/>
              </w:rPr>
              <w:t>项目主管（B级）</w:t>
            </w:r>
          </w:p>
        </w:tc>
      </w:tr>
      <w:tr w14:paraId="00E72E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3" w:hRule="atLeast"/>
          <w:jc w:val="center"/>
        </w:trPr>
        <w:tc>
          <w:tcPr>
            <w:tcW w:w="1152" w:type="dxa"/>
            <w:tcBorders>
              <w:top w:val="single" w:color="auto" w:sz="4" w:space="0"/>
              <w:left w:val="single" w:color="000000" w:sz="4" w:space="0"/>
              <w:bottom w:val="single" w:color="auto" w:sz="4" w:space="0"/>
              <w:right w:val="single" w:color="000000" w:sz="4" w:space="0"/>
              <w:tl2br w:val="nil"/>
              <w:tr2bl w:val="nil"/>
            </w:tcBorders>
            <w:vAlign w:val="center"/>
          </w:tcPr>
          <w:p w14:paraId="18F7C2A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黑体" w:eastAsia="仿宋_GB2312" w:cs="Times New Roman"/>
                <w:color w:val="000000"/>
                <w:szCs w:val="21"/>
                <w:lang w:val="en-US" w:eastAsia="zh-CN"/>
              </w:rPr>
            </w:pPr>
            <w:r>
              <w:rPr>
                <w:rFonts w:hint="eastAsia" w:ascii="仿宋_GB2312" w:hAnsi="黑体" w:eastAsia="仿宋_GB2312" w:cs="Times New Roman"/>
                <w:color w:val="000000"/>
                <w:szCs w:val="21"/>
                <w:lang w:val="en-US" w:eastAsia="zh-CN"/>
              </w:rPr>
              <w:t>5级</w:t>
            </w:r>
          </w:p>
        </w:tc>
        <w:tc>
          <w:tcPr>
            <w:tcW w:w="2815" w:type="dxa"/>
            <w:tcBorders>
              <w:top w:val="single" w:color="auto" w:sz="4" w:space="0"/>
              <w:left w:val="single" w:color="000000" w:sz="4" w:space="0"/>
              <w:bottom w:val="single" w:color="auto" w:sz="4" w:space="0"/>
              <w:right w:val="single" w:color="000000" w:sz="4" w:space="0"/>
              <w:tl2br w:val="nil"/>
              <w:tr2bl w:val="nil"/>
            </w:tcBorders>
            <w:vAlign w:val="center"/>
          </w:tcPr>
          <w:p w14:paraId="6A1A935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黑体" w:eastAsia="仿宋_GB2312" w:cs="Times New Roman"/>
                <w:color w:val="000000"/>
                <w:szCs w:val="21"/>
                <w:lang w:val="en-US" w:eastAsia="zh-CN"/>
              </w:rPr>
            </w:pPr>
            <w:r>
              <w:rPr>
                <w:rFonts w:hint="eastAsia" w:ascii="仿宋_GB2312" w:hAnsi="黑体" w:eastAsia="仿宋_GB2312" w:cs="Times New Roman"/>
                <w:color w:val="000000"/>
                <w:szCs w:val="21"/>
                <w:lang w:val="en-US" w:eastAsia="zh-CN"/>
              </w:rPr>
              <w:t>部门副主任</w:t>
            </w:r>
          </w:p>
        </w:tc>
        <w:tc>
          <w:tcPr>
            <w:tcW w:w="1996" w:type="dxa"/>
            <w:tcBorders>
              <w:top w:val="single" w:color="auto" w:sz="4" w:space="0"/>
              <w:left w:val="single" w:color="000000" w:sz="4" w:space="0"/>
              <w:bottom w:val="single" w:color="auto" w:sz="4" w:space="0"/>
              <w:right w:val="single" w:color="000000" w:sz="4" w:space="0"/>
              <w:tl2br w:val="nil"/>
              <w:tr2bl w:val="nil"/>
            </w:tcBorders>
            <w:vAlign w:val="center"/>
          </w:tcPr>
          <w:p w14:paraId="01CA99C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黑体" w:eastAsia="仿宋_GB2312" w:cs="Times New Roman"/>
                <w:color w:val="000000"/>
                <w:szCs w:val="21"/>
                <w:lang w:val="en-US" w:eastAsia="zh-CN"/>
              </w:rPr>
            </w:pPr>
            <w:r>
              <w:rPr>
                <w:rFonts w:hint="eastAsia" w:ascii="仿宋_GB2312" w:hAnsi="黑体" w:eastAsia="仿宋_GB2312" w:cs="Times New Roman"/>
                <w:color w:val="000000"/>
                <w:szCs w:val="21"/>
                <w:lang w:val="en-US" w:eastAsia="zh-CN"/>
              </w:rPr>
              <w:t>资深职员（C级）</w:t>
            </w:r>
          </w:p>
        </w:tc>
        <w:tc>
          <w:tcPr>
            <w:tcW w:w="1954" w:type="dxa"/>
            <w:tcBorders>
              <w:top w:val="single" w:color="auto" w:sz="4" w:space="0"/>
              <w:left w:val="single" w:color="000000" w:sz="4" w:space="0"/>
              <w:bottom w:val="single" w:color="auto" w:sz="4" w:space="0"/>
              <w:right w:val="single" w:color="000000" w:sz="4" w:space="0"/>
              <w:tl2br w:val="nil"/>
              <w:tr2bl w:val="nil"/>
            </w:tcBorders>
            <w:vAlign w:val="center"/>
          </w:tcPr>
          <w:p w14:paraId="397B844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黑体" w:eastAsia="仿宋_GB2312" w:cs="Times New Roman"/>
                <w:color w:val="000000"/>
                <w:szCs w:val="21"/>
                <w:lang w:val="en-US" w:eastAsia="zh-CN"/>
              </w:rPr>
            </w:pPr>
            <w:r>
              <w:rPr>
                <w:rFonts w:hint="eastAsia" w:ascii="仿宋_GB2312" w:hAnsi="黑体" w:eastAsia="仿宋_GB2312" w:cs="Times New Roman"/>
                <w:color w:val="000000"/>
                <w:szCs w:val="21"/>
                <w:lang w:val="en-US" w:eastAsia="zh-CN"/>
              </w:rPr>
              <w:t>项目主管（C级）</w:t>
            </w:r>
          </w:p>
        </w:tc>
      </w:tr>
      <w:tr w14:paraId="19641B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3" w:hRule="atLeast"/>
          <w:jc w:val="center"/>
        </w:trPr>
        <w:tc>
          <w:tcPr>
            <w:tcW w:w="1152" w:type="dxa"/>
            <w:tcBorders>
              <w:top w:val="single" w:color="auto" w:sz="4" w:space="0"/>
              <w:left w:val="single" w:color="000000" w:sz="4" w:space="0"/>
              <w:bottom w:val="single" w:color="auto" w:sz="4" w:space="0"/>
              <w:right w:val="single" w:color="000000" w:sz="4" w:space="0"/>
              <w:tl2br w:val="nil"/>
              <w:tr2bl w:val="nil"/>
            </w:tcBorders>
            <w:vAlign w:val="center"/>
          </w:tcPr>
          <w:p w14:paraId="1039ADC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黑体" w:eastAsia="仿宋_GB2312" w:cs="Times New Roman"/>
                <w:color w:val="000000"/>
                <w:szCs w:val="21"/>
                <w:lang w:val="en-US" w:eastAsia="zh-CN"/>
              </w:rPr>
            </w:pPr>
            <w:r>
              <w:rPr>
                <w:rFonts w:hint="eastAsia" w:ascii="仿宋_GB2312" w:hAnsi="黑体" w:eastAsia="仿宋_GB2312" w:cs="Times New Roman"/>
                <w:color w:val="000000"/>
                <w:szCs w:val="21"/>
                <w:lang w:val="en-US" w:eastAsia="zh-CN"/>
              </w:rPr>
              <w:t>4级</w:t>
            </w:r>
          </w:p>
        </w:tc>
        <w:tc>
          <w:tcPr>
            <w:tcW w:w="2815" w:type="dxa"/>
            <w:tcBorders>
              <w:top w:val="single" w:color="auto" w:sz="4" w:space="0"/>
              <w:left w:val="single" w:color="000000" w:sz="4" w:space="0"/>
              <w:bottom w:val="single" w:color="auto" w:sz="4" w:space="0"/>
              <w:right w:val="single" w:color="000000" w:sz="4" w:space="0"/>
              <w:tl2br w:val="nil"/>
              <w:tr2bl w:val="nil"/>
            </w:tcBorders>
            <w:vAlign w:val="center"/>
          </w:tcPr>
          <w:p w14:paraId="19A80DD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黑体" w:eastAsia="仿宋_GB2312" w:cs="Times New Roman"/>
                <w:color w:val="000000"/>
                <w:szCs w:val="21"/>
                <w:lang w:val="en-US" w:eastAsia="zh-CN"/>
              </w:rPr>
            </w:pPr>
            <w:r>
              <w:rPr>
                <w:rFonts w:hint="eastAsia" w:ascii="仿宋_GB2312" w:hAnsi="黑体" w:eastAsia="仿宋_GB2312" w:cs="Times New Roman"/>
                <w:color w:val="000000"/>
                <w:szCs w:val="21"/>
                <w:lang w:val="en-US" w:eastAsia="zh-CN"/>
              </w:rPr>
              <w:t>部门主任助理</w:t>
            </w:r>
          </w:p>
        </w:tc>
        <w:tc>
          <w:tcPr>
            <w:tcW w:w="1996" w:type="dxa"/>
            <w:tcBorders>
              <w:top w:val="single" w:color="auto" w:sz="4" w:space="0"/>
              <w:left w:val="single" w:color="000000" w:sz="4" w:space="0"/>
              <w:bottom w:val="single" w:color="auto" w:sz="4" w:space="0"/>
              <w:right w:val="single" w:color="000000" w:sz="4" w:space="0"/>
              <w:tl2br w:val="nil"/>
              <w:tr2bl w:val="nil"/>
            </w:tcBorders>
            <w:vAlign w:val="center"/>
          </w:tcPr>
          <w:p w14:paraId="4C26CF8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黑体" w:eastAsia="仿宋_GB2312" w:cs="Times New Roman"/>
                <w:color w:val="000000"/>
                <w:szCs w:val="21"/>
                <w:lang w:val="en-US" w:eastAsia="zh-CN"/>
              </w:rPr>
            </w:pPr>
            <w:r>
              <w:rPr>
                <w:rFonts w:hint="eastAsia" w:ascii="仿宋_GB2312" w:hAnsi="黑体" w:eastAsia="仿宋_GB2312" w:cs="Times New Roman"/>
                <w:color w:val="000000"/>
                <w:szCs w:val="21"/>
                <w:lang w:val="en-US" w:eastAsia="zh-CN"/>
              </w:rPr>
              <w:t>资深职员（D级）</w:t>
            </w:r>
          </w:p>
        </w:tc>
        <w:tc>
          <w:tcPr>
            <w:tcW w:w="1954" w:type="dxa"/>
            <w:tcBorders>
              <w:top w:val="single" w:color="auto" w:sz="4" w:space="0"/>
              <w:left w:val="single" w:color="000000" w:sz="4" w:space="0"/>
              <w:bottom w:val="single" w:color="auto" w:sz="4" w:space="0"/>
              <w:right w:val="single" w:color="000000" w:sz="4" w:space="0"/>
              <w:tl2br w:val="nil"/>
              <w:tr2bl w:val="nil"/>
            </w:tcBorders>
            <w:vAlign w:val="center"/>
          </w:tcPr>
          <w:p w14:paraId="27BCF47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黑体" w:eastAsia="仿宋_GB2312" w:cs="Times New Roman"/>
                <w:color w:val="000000"/>
                <w:szCs w:val="21"/>
                <w:lang w:val="en-US" w:eastAsia="zh-CN"/>
              </w:rPr>
            </w:pPr>
            <w:r>
              <w:rPr>
                <w:rFonts w:hint="eastAsia" w:ascii="仿宋_GB2312" w:hAnsi="黑体" w:eastAsia="仿宋_GB2312" w:cs="Times New Roman"/>
                <w:color w:val="000000"/>
                <w:szCs w:val="21"/>
                <w:lang w:val="en-US" w:eastAsia="zh-CN"/>
              </w:rPr>
              <w:t>项目专员（D级）</w:t>
            </w:r>
          </w:p>
        </w:tc>
      </w:tr>
      <w:tr w14:paraId="381427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3" w:hRule="atLeast"/>
          <w:jc w:val="center"/>
        </w:trPr>
        <w:tc>
          <w:tcPr>
            <w:tcW w:w="1152" w:type="dxa"/>
            <w:tcBorders>
              <w:top w:val="single" w:color="auto" w:sz="4" w:space="0"/>
              <w:left w:val="single" w:color="000000" w:sz="4" w:space="0"/>
              <w:bottom w:val="single" w:color="auto" w:sz="4" w:space="0"/>
              <w:right w:val="single" w:color="000000" w:sz="4" w:space="0"/>
              <w:tl2br w:val="nil"/>
              <w:tr2bl w:val="nil"/>
            </w:tcBorders>
            <w:vAlign w:val="center"/>
          </w:tcPr>
          <w:p w14:paraId="280DFCB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黑体" w:eastAsia="仿宋_GB2312" w:cs="Times New Roman"/>
                <w:color w:val="000000"/>
                <w:szCs w:val="21"/>
                <w:highlight w:val="none"/>
                <w:lang w:val="en-US" w:eastAsia="zh-CN"/>
              </w:rPr>
            </w:pPr>
            <w:r>
              <w:rPr>
                <w:rFonts w:hint="eastAsia" w:ascii="仿宋_GB2312" w:hAnsi="黑体" w:eastAsia="仿宋_GB2312" w:cs="Times New Roman"/>
                <w:color w:val="000000"/>
                <w:szCs w:val="21"/>
                <w:highlight w:val="none"/>
                <w:lang w:val="en-US" w:eastAsia="zh-CN"/>
              </w:rPr>
              <w:t>3级</w:t>
            </w:r>
          </w:p>
        </w:tc>
        <w:tc>
          <w:tcPr>
            <w:tcW w:w="2815" w:type="dxa"/>
            <w:tcBorders>
              <w:top w:val="single" w:color="auto" w:sz="4" w:space="0"/>
              <w:left w:val="single" w:color="000000" w:sz="4" w:space="0"/>
              <w:bottom w:val="single" w:color="auto" w:sz="4" w:space="0"/>
              <w:right w:val="single" w:color="000000" w:sz="4" w:space="0"/>
              <w:tl2br w:val="nil"/>
              <w:tr2bl w:val="nil"/>
            </w:tcBorders>
            <w:vAlign w:val="center"/>
          </w:tcPr>
          <w:p w14:paraId="479CA1B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黑体" w:eastAsia="仿宋_GB2312" w:cs="Times New Roman"/>
                <w:color w:val="000000"/>
                <w:szCs w:val="21"/>
                <w:highlight w:val="none"/>
                <w:lang w:val="en-US" w:eastAsia="zh-CN"/>
              </w:rPr>
            </w:pPr>
            <w:r>
              <w:rPr>
                <w:rFonts w:hint="eastAsia" w:ascii="仿宋_GB2312" w:hAnsi="黑体" w:eastAsia="仿宋_GB2312" w:cs="Times New Roman"/>
                <w:color w:val="000000"/>
                <w:szCs w:val="21"/>
                <w:highlight w:val="none"/>
                <w:lang w:val="en-US" w:eastAsia="zh-CN"/>
              </w:rPr>
              <w:t>全职志愿者（A级）</w:t>
            </w:r>
          </w:p>
        </w:tc>
        <w:tc>
          <w:tcPr>
            <w:tcW w:w="1996" w:type="dxa"/>
            <w:tcBorders>
              <w:top w:val="single" w:color="auto" w:sz="4" w:space="0"/>
              <w:left w:val="single" w:color="000000" w:sz="4" w:space="0"/>
              <w:bottom w:val="single" w:color="auto" w:sz="4" w:space="0"/>
              <w:right w:val="single" w:color="000000" w:sz="4" w:space="0"/>
              <w:tl2br w:val="nil"/>
              <w:tr2bl w:val="nil"/>
            </w:tcBorders>
            <w:vAlign w:val="center"/>
          </w:tcPr>
          <w:p w14:paraId="52E06C4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黑体" w:eastAsia="仿宋_GB2312" w:cs="Times New Roman"/>
                <w:color w:val="000000"/>
                <w:szCs w:val="21"/>
                <w:highlight w:val="none"/>
                <w:lang w:val="en-US" w:eastAsia="zh-CN"/>
              </w:rPr>
            </w:pPr>
            <w:r>
              <w:rPr>
                <w:rFonts w:hint="eastAsia" w:ascii="仿宋_GB2312" w:hAnsi="黑体" w:eastAsia="仿宋_GB2312" w:cs="Times New Roman"/>
                <w:color w:val="000000"/>
                <w:szCs w:val="21"/>
                <w:highlight w:val="none"/>
                <w:lang w:val="en-US" w:eastAsia="zh-CN"/>
              </w:rPr>
              <w:t>职员（A级）</w:t>
            </w:r>
          </w:p>
        </w:tc>
        <w:tc>
          <w:tcPr>
            <w:tcW w:w="1954" w:type="dxa"/>
            <w:tcBorders>
              <w:top w:val="single" w:color="auto" w:sz="4" w:space="0"/>
              <w:left w:val="single" w:color="000000" w:sz="4" w:space="0"/>
              <w:bottom w:val="single" w:color="auto" w:sz="4" w:space="0"/>
              <w:right w:val="single" w:color="000000" w:sz="4" w:space="0"/>
              <w:tl2br w:val="nil"/>
              <w:tr2bl w:val="nil"/>
            </w:tcBorders>
            <w:vAlign w:val="center"/>
          </w:tcPr>
          <w:p w14:paraId="3CFA292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黑体" w:eastAsia="仿宋_GB2312" w:cs="Times New Roman"/>
                <w:color w:val="000000"/>
                <w:szCs w:val="21"/>
                <w:highlight w:val="none"/>
                <w:lang w:val="en-US" w:eastAsia="zh-CN"/>
              </w:rPr>
            </w:pPr>
            <w:r>
              <w:rPr>
                <w:rFonts w:hint="eastAsia" w:ascii="仿宋_GB2312" w:hAnsi="黑体" w:eastAsia="仿宋_GB2312" w:cs="Times New Roman"/>
                <w:color w:val="000000"/>
                <w:szCs w:val="21"/>
                <w:highlight w:val="none"/>
                <w:lang w:val="en-US" w:eastAsia="zh-CN"/>
              </w:rPr>
              <w:t>项目专员（A级）</w:t>
            </w:r>
          </w:p>
        </w:tc>
      </w:tr>
      <w:tr w14:paraId="4551C6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7" w:hRule="atLeast"/>
          <w:jc w:val="center"/>
        </w:trPr>
        <w:tc>
          <w:tcPr>
            <w:tcW w:w="1152" w:type="dxa"/>
            <w:tcBorders>
              <w:top w:val="single" w:color="auto" w:sz="4" w:space="0"/>
              <w:left w:val="single" w:color="000000" w:sz="4" w:space="0"/>
              <w:bottom w:val="single" w:color="auto" w:sz="4" w:space="0"/>
              <w:right w:val="single" w:color="000000" w:sz="4" w:space="0"/>
              <w:tl2br w:val="nil"/>
              <w:tr2bl w:val="nil"/>
            </w:tcBorders>
            <w:vAlign w:val="center"/>
          </w:tcPr>
          <w:p w14:paraId="54BF66C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黑体" w:eastAsia="仿宋_GB2312" w:cs="Times New Roman"/>
                <w:color w:val="000000"/>
                <w:szCs w:val="21"/>
                <w:highlight w:val="none"/>
                <w:lang w:val="en-US" w:eastAsia="zh-CN"/>
              </w:rPr>
            </w:pPr>
            <w:r>
              <w:rPr>
                <w:rFonts w:hint="eastAsia" w:ascii="仿宋_GB2312" w:hAnsi="黑体" w:eastAsia="仿宋_GB2312" w:cs="Times New Roman"/>
                <w:color w:val="000000"/>
                <w:szCs w:val="21"/>
                <w:highlight w:val="none"/>
                <w:lang w:val="en-US" w:eastAsia="zh-CN"/>
              </w:rPr>
              <w:t>2级</w:t>
            </w:r>
          </w:p>
        </w:tc>
        <w:tc>
          <w:tcPr>
            <w:tcW w:w="2815" w:type="dxa"/>
            <w:tcBorders>
              <w:top w:val="single" w:color="auto" w:sz="4" w:space="0"/>
              <w:left w:val="single" w:color="000000" w:sz="4" w:space="0"/>
              <w:bottom w:val="single" w:color="auto" w:sz="4" w:space="0"/>
              <w:right w:val="single" w:color="000000" w:sz="4" w:space="0"/>
              <w:tl2br w:val="nil"/>
              <w:tr2bl w:val="nil"/>
            </w:tcBorders>
            <w:vAlign w:val="center"/>
          </w:tcPr>
          <w:p w14:paraId="29574ED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黑体" w:eastAsia="仿宋_GB2312" w:cs="Times New Roman"/>
                <w:color w:val="000000"/>
                <w:szCs w:val="21"/>
                <w:highlight w:val="none"/>
                <w:lang w:val="en-US" w:eastAsia="zh-CN"/>
              </w:rPr>
            </w:pPr>
            <w:r>
              <w:rPr>
                <w:rFonts w:hint="eastAsia" w:ascii="仿宋_GB2312" w:hAnsi="黑体" w:eastAsia="仿宋_GB2312" w:cs="Times New Roman"/>
                <w:color w:val="000000"/>
                <w:szCs w:val="21"/>
                <w:highlight w:val="none"/>
                <w:lang w:val="en-US" w:eastAsia="zh-CN"/>
              </w:rPr>
              <w:t>全职志愿者（B级）</w:t>
            </w:r>
          </w:p>
        </w:tc>
        <w:tc>
          <w:tcPr>
            <w:tcW w:w="1996" w:type="dxa"/>
            <w:tcBorders>
              <w:top w:val="single" w:color="auto" w:sz="4" w:space="0"/>
              <w:left w:val="single" w:color="000000" w:sz="4" w:space="0"/>
              <w:bottom w:val="single" w:color="auto" w:sz="4" w:space="0"/>
              <w:right w:val="single" w:color="000000" w:sz="4" w:space="0"/>
              <w:tl2br w:val="nil"/>
              <w:tr2bl w:val="nil"/>
            </w:tcBorders>
            <w:vAlign w:val="center"/>
          </w:tcPr>
          <w:p w14:paraId="36EEC3D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黑体" w:eastAsia="仿宋_GB2312" w:cs="Times New Roman"/>
                <w:color w:val="000000"/>
                <w:szCs w:val="21"/>
                <w:highlight w:val="none"/>
                <w:lang w:val="en-US" w:eastAsia="zh-CN"/>
              </w:rPr>
            </w:pPr>
            <w:r>
              <w:rPr>
                <w:rFonts w:hint="eastAsia" w:ascii="仿宋_GB2312" w:hAnsi="黑体" w:eastAsia="仿宋_GB2312" w:cs="Times New Roman"/>
                <w:color w:val="000000"/>
                <w:szCs w:val="21"/>
                <w:highlight w:val="none"/>
                <w:lang w:val="en-US" w:eastAsia="zh-CN"/>
              </w:rPr>
              <w:t>职员（B级）</w:t>
            </w:r>
          </w:p>
        </w:tc>
        <w:tc>
          <w:tcPr>
            <w:tcW w:w="1954" w:type="dxa"/>
            <w:tcBorders>
              <w:top w:val="single" w:color="auto" w:sz="4" w:space="0"/>
              <w:left w:val="single" w:color="000000" w:sz="4" w:space="0"/>
              <w:bottom w:val="single" w:color="auto" w:sz="4" w:space="0"/>
              <w:right w:val="single" w:color="000000" w:sz="4" w:space="0"/>
              <w:tl2br w:val="nil"/>
              <w:tr2bl w:val="nil"/>
            </w:tcBorders>
            <w:vAlign w:val="center"/>
          </w:tcPr>
          <w:p w14:paraId="714CB56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_GB2312" w:hAnsi="黑体" w:eastAsia="仿宋_GB2312" w:cs="Times New Roman"/>
                <w:color w:val="000000"/>
                <w:szCs w:val="21"/>
                <w:highlight w:val="none"/>
                <w:lang w:val="en-US" w:eastAsia="zh-CN"/>
              </w:rPr>
            </w:pPr>
            <w:r>
              <w:rPr>
                <w:rFonts w:hint="eastAsia" w:ascii="仿宋_GB2312" w:hAnsi="黑体" w:eastAsia="仿宋_GB2312" w:cs="Times New Roman"/>
                <w:color w:val="000000"/>
                <w:szCs w:val="21"/>
                <w:highlight w:val="none"/>
                <w:lang w:val="en-US" w:eastAsia="zh-CN"/>
              </w:rPr>
              <w:t>项目专员（B级）</w:t>
            </w:r>
          </w:p>
        </w:tc>
      </w:tr>
    </w:tbl>
    <w:p w14:paraId="03646504">
      <w:pPr>
        <w:spacing w:line="560" w:lineRule="exact"/>
        <w:jc w:val="left"/>
        <w:rPr>
          <w:rFonts w:ascii="方正仿宋简体" w:hAnsi="方正仿宋简体" w:eastAsia="方正仿宋简体" w:cs="方正仿宋简体"/>
          <w:sz w:val="32"/>
          <w:szCs w:val="32"/>
          <w:highlight w:val="none"/>
          <w:shd w:val="clear" w:color="auto" w:fill="FFFFFF"/>
        </w:rPr>
      </w:pPr>
    </w:p>
    <w:p w14:paraId="0BA28D4C">
      <w:pPr>
        <w:keepNext w:val="0"/>
        <w:keepLines w:val="0"/>
        <w:widowControl/>
        <w:suppressLineNumbers w:val="0"/>
        <w:jc w:val="center"/>
        <w:rPr>
          <w:rFonts w:hint="eastAsia" w:ascii="楷体_GB2312" w:hAnsi="Times New Roman" w:eastAsia="楷体_GB2312" w:cs="Times New Roman"/>
          <w:color w:val="000000"/>
          <w:sz w:val="32"/>
          <w:szCs w:val="32"/>
          <w:highlight w:val="none"/>
          <w:lang w:val="en-US" w:eastAsia="zh-CN"/>
        </w:rPr>
      </w:pPr>
      <w:r>
        <w:rPr>
          <w:rFonts w:hint="eastAsia" w:ascii="楷体_GB2312" w:hAnsi="Times New Roman" w:eastAsia="楷体_GB2312" w:cs="Times New Roman"/>
          <w:color w:val="000000"/>
          <w:sz w:val="32"/>
          <w:szCs w:val="32"/>
          <w:highlight w:val="none"/>
          <w:lang w:val="en-US" w:eastAsia="zh-CN"/>
        </w:rPr>
        <w:t>第三节 职级调整</w:t>
      </w:r>
    </w:p>
    <w:p w14:paraId="00A31495">
      <w:pPr>
        <w:keepNext w:val="0"/>
        <w:keepLines w:val="0"/>
        <w:pageBreakBefore w:val="0"/>
        <w:widowControl/>
        <w:suppressLineNumbers w:val="0"/>
        <w:kinsoku/>
        <w:wordWrap/>
        <w:overflowPunct/>
        <w:topLinePunct w:val="0"/>
        <w:autoSpaceDE/>
        <w:autoSpaceDN/>
        <w:bidi w:val="0"/>
        <w:spacing w:line="560" w:lineRule="exact"/>
        <w:ind w:firstLine="640" w:firstLineChars="200"/>
        <w:jc w:val="left"/>
        <w:textAlignment w:val="auto"/>
        <w:rPr>
          <w:rFonts w:hint="eastAsia" w:ascii="仿宋_GB2312" w:hAnsi="Times New Roman" w:eastAsia="仿宋_GB2312" w:cs="Times New Roman"/>
          <w:sz w:val="32"/>
          <w:szCs w:val="32"/>
          <w:highlight w:val="none"/>
          <w:lang w:val="en-US" w:eastAsia="zh-CN"/>
        </w:rPr>
      </w:pPr>
      <w:r>
        <w:rPr>
          <w:rFonts w:hint="eastAsia" w:ascii="楷体_GB2312" w:hAnsi="Times New Roman" w:eastAsia="楷体_GB2312" w:cs="Times New Roman"/>
          <w:color w:val="000000"/>
          <w:sz w:val="32"/>
          <w:szCs w:val="32"/>
          <w:highlight w:val="none"/>
          <w:lang w:val="en-US" w:eastAsia="zh-CN"/>
        </w:rPr>
        <w:t>第八条</w:t>
      </w:r>
      <w:r>
        <w:rPr>
          <w:rFonts w:ascii="仿宋" w:hAnsi="仿宋" w:eastAsia="仿宋" w:cs="仿宋"/>
          <w:b/>
          <w:bCs/>
          <w:color w:val="000000"/>
          <w:kern w:val="0"/>
          <w:sz w:val="28"/>
          <w:szCs w:val="28"/>
          <w:highlight w:val="none"/>
          <w:lang w:val="en-US" w:eastAsia="zh-CN" w:bidi="ar"/>
        </w:rPr>
        <w:t xml:space="preserve"> </w:t>
      </w:r>
      <w:r>
        <w:rPr>
          <w:rFonts w:hint="eastAsia" w:ascii="仿宋_GB2312" w:hAnsi="Times New Roman" w:eastAsia="仿宋_GB2312" w:cs="Times New Roman"/>
          <w:sz w:val="32"/>
          <w:szCs w:val="32"/>
          <w:highlight w:val="none"/>
          <w:lang w:val="en-US" w:eastAsia="zh-CN"/>
        </w:rPr>
        <w:t>员工的职级根据员工能力与职级要求进行匹配，原则上逐级晋级或者降级，职级升、降后匹配对应职级。</w:t>
      </w:r>
    </w:p>
    <w:p w14:paraId="764214A7">
      <w:pPr>
        <w:keepNext w:val="0"/>
        <w:keepLines w:val="0"/>
        <w:pageBreakBefore w:val="0"/>
        <w:shd w:val="clear" w:color="auto" w:fill="auto"/>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highlight w:val="none"/>
          <w:lang w:val="en-US" w:eastAsia="zh-CN"/>
        </w:rPr>
        <w:t xml:space="preserve">第九条 </w:t>
      </w:r>
      <w:r>
        <w:rPr>
          <w:rFonts w:hint="eastAsia" w:ascii="仿宋_GB2312" w:hAnsi="Times New Roman" w:eastAsia="仿宋_GB2312" w:cs="Times New Roman"/>
          <w:sz w:val="32"/>
          <w:szCs w:val="32"/>
          <w:highlight w:val="none"/>
          <w:lang w:val="en-US" w:eastAsia="zh-CN"/>
        </w:rPr>
        <w:t>基金会推行以能力为基准</w:t>
      </w:r>
      <w:r>
        <w:rPr>
          <w:rFonts w:hint="eastAsia" w:ascii="仿宋_GB2312" w:eastAsia="仿宋_GB2312" w:cs="Times New Roman"/>
          <w:sz w:val="32"/>
          <w:szCs w:val="32"/>
          <w:highlight w:val="none"/>
          <w:lang w:val="en-US" w:eastAsia="zh-CN"/>
        </w:rPr>
        <w:t>，以</w:t>
      </w:r>
      <w:r>
        <w:rPr>
          <w:rFonts w:hint="eastAsia" w:ascii="仿宋_GB2312" w:hAnsi="Times New Roman" w:eastAsia="仿宋_GB2312" w:cs="Times New Roman"/>
          <w:sz w:val="32"/>
          <w:szCs w:val="32"/>
          <w:highlight w:val="none"/>
          <w:lang w:val="en-US" w:eastAsia="zh-CN"/>
        </w:rPr>
        <w:t>价值贡献为导向的晋升原则，职级晋升与员工年度考核成绩直接挂钩，具体参照《宁波鄞州银行公益基金会员工</w:t>
      </w:r>
      <w:r>
        <w:rPr>
          <w:rFonts w:hint="eastAsia" w:ascii="仿宋_GB2312" w:eastAsia="仿宋_GB2312" w:cs="Times New Roman"/>
          <w:sz w:val="32"/>
          <w:szCs w:val="32"/>
          <w:highlight w:val="none"/>
          <w:lang w:val="en-US" w:eastAsia="zh-CN"/>
        </w:rPr>
        <w:t>年度</w:t>
      </w:r>
      <w:r>
        <w:rPr>
          <w:rFonts w:hint="eastAsia" w:ascii="仿宋_GB2312" w:hAnsi="Times New Roman" w:eastAsia="仿宋_GB2312" w:cs="Times New Roman"/>
          <w:sz w:val="32"/>
          <w:szCs w:val="32"/>
          <w:highlight w:val="none"/>
          <w:lang w:val="en-US" w:eastAsia="zh-CN"/>
        </w:rPr>
        <w:t>考核办法》，达到标准的，由其直属领导提名，经</w:t>
      </w:r>
      <w:r>
        <w:rPr>
          <w:rFonts w:hint="eastAsia" w:ascii="仿宋_GB2312" w:eastAsia="仿宋_GB2312" w:cs="Times New Roman"/>
          <w:sz w:val="32"/>
          <w:szCs w:val="32"/>
          <w:highlight w:val="none"/>
          <w:lang w:val="en-US" w:eastAsia="zh-CN"/>
        </w:rPr>
        <w:t>理事长</w:t>
      </w:r>
      <w:r>
        <w:rPr>
          <w:rFonts w:hint="eastAsia" w:ascii="仿宋_GB2312" w:hAnsi="Times New Roman" w:eastAsia="仿宋_GB2312" w:cs="Times New Roman"/>
          <w:sz w:val="32"/>
          <w:szCs w:val="32"/>
          <w:highlight w:val="none"/>
          <w:lang w:val="en-US" w:eastAsia="zh-CN"/>
        </w:rPr>
        <w:t>办公会评估通过后可晋级</w:t>
      </w:r>
      <w:r>
        <w:rPr>
          <w:rFonts w:hint="eastAsia" w:ascii="仿宋_GB2312" w:hAnsi="Times New Roman" w:eastAsia="仿宋_GB2312" w:cs="Times New Roman"/>
          <w:sz w:val="32"/>
          <w:szCs w:val="32"/>
          <w:lang w:val="en-US" w:eastAsia="zh-CN"/>
        </w:rPr>
        <w:t>到下一职级。</w:t>
      </w:r>
    </w:p>
    <w:p w14:paraId="10EEC717">
      <w:pPr>
        <w:keepNext w:val="0"/>
        <w:keepLines w:val="0"/>
        <w:pageBreakBefore w:val="0"/>
        <w:shd w:val="clear" w:color="auto" w:fill="auto"/>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（一）管理序列及6级以上员工原则上通过选拔竞聘的方式产生；</w:t>
      </w:r>
    </w:p>
    <w:p w14:paraId="72F2028B">
      <w:pPr>
        <w:keepNext w:val="0"/>
        <w:keepLines w:val="0"/>
        <w:pageBreakBefore w:val="0"/>
        <w:shd w:val="clear" w:color="auto" w:fill="auto"/>
        <w:kinsoku/>
        <w:wordWrap/>
        <w:overflowPunct/>
        <w:topLinePunct w:val="0"/>
        <w:autoSpaceDE/>
        <w:autoSpaceDN/>
        <w:bidi w:val="0"/>
        <w:adjustRightInd w:val="0"/>
        <w:snapToGrid w:val="0"/>
        <w:spacing w:line="560" w:lineRule="exact"/>
        <w:ind w:firstLine="640" w:firstLineChars="200"/>
        <w:jc w:val="both"/>
        <w:textAlignment w:val="auto"/>
        <w:rPr>
          <w:rFonts w:hint="default"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（二）其他序列5级以下员工，考虑到对低职级人员的及时激励，符合条件的员工经部门推荐及秘书长批准，最快1年可晋升1级。</w:t>
      </w:r>
    </w:p>
    <w:p w14:paraId="44B5164B">
      <w:pPr>
        <w:keepNext w:val="0"/>
        <w:keepLines w:val="0"/>
        <w:pageBreakBefore w:val="0"/>
        <w:shd w:val="clear" w:color="auto" w:fill="auto"/>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第十条</w:t>
      </w:r>
      <w:r>
        <w:rPr>
          <w:rFonts w:ascii="仿宋" w:hAnsi="仿宋" w:eastAsia="仿宋" w:cs="仿宋"/>
          <w:b/>
          <w:bCs/>
          <w:color w:val="000000"/>
          <w:kern w:val="0"/>
          <w:sz w:val="28"/>
          <w:szCs w:val="28"/>
          <w:lang w:val="en-US" w:eastAsia="zh-CN" w:bidi="ar"/>
        </w:rPr>
        <w:t xml:space="preserve"> </w:t>
      </w:r>
      <w:r>
        <w:rPr>
          <w:rFonts w:hint="eastAsia" w:ascii="仿宋_GB2312" w:hAnsi="Times New Roman" w:eastAsia="仿宋_GB2312" w:cs="Times New Roman"/>
          <w:sz w:val="32"/>
          <w:szCs w:val="32"/>
          <w:lang w:val="en-US" w:eastAsia="zh-CN"/>
        </w:rPr>
        <w:t xml:space="preserve">如果员工出现以下情况，则当年需评定为降级： </w:t>
      </w:r>
    </w:p>
    <w:p w14:paraId="08FEB201">
      <w:pPr>
        <w:keepNext w:val="0"/>
        <w:keepLines w:val="0"/>
        <w:pageBreakBefore w:val="0"/>
        <w:shd w:val="clear" w:color="auto" w:fill="auto"/>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(一) 员工年度考核不称职的；</w:t>
      </w:r>
    </w:p>
    <w:p w14:paraId="7700E35D">
      <w:pPr>
        <w:keepNext w:val="0"/>
        <w:keepLines w:val="0"/>
        <w:pageBreakBefore w:val="0"/>
        <w:shd w:val="clear" w:color="auto" w:fill="auto"/>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 xml:space="preserve">(二) 员工在上一个考核周期内有重大工作失误的； </w:t>
      </w:r>
    </w:p>
    <w:p w14:paraId="0BF59AC1">
      <w:pPr>
        <w:keepNext w:val="0"/>
        <w:keepLines w:val="0"/>
        <w:pageBreakBefore w:val="0"/>
        <w:shd w:val="clear" w:color="auto" w:fill="auto"/>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 xml:space="preserve">(三) 员工工作态度消极、与基金会价值观不匹配的； </w:t>
      </w:r>
    </w:p>
    <w:p w14:paraId="39C3A98B">
      <w:pPr>
        <w:keepNext w:val="0"/>
        <w:keepLines w:val="0"/>
        <w:pageBreakBefore w:val="0"/>
        <w:shd w:val="clear" w:color="auto" w:fill="auto"/>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 xml:space="preserve">(四) 一年内接受过基金会重大处分的； </w:t>
      </w:r>
    </w:p>
    <w:p w14:paraId="7C01E162">
      <w:pPr>
        <w:keepNext w:val="0"/>
        <w:keepLines w:val="0"/>
        <w:pageBreakBefore w:val="0"/>
        <w:shd w:val="clear" w:color="auto" w:fill="auto"/>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 xml:space="preserve">(五) 违反员工职业守则或造成基金会其他负面影响的； </w:t>
      </w:r>
    </w:p>
    <w:p w14:paraId="6BA83062">
      <w:pPr>
        <w:keepNext w:val="0"/>
        <w:keepLines w:val="0"/>
        <w:pageBreakBefore w:val="0"/>
        <w:shd w:val="clear" w:color="auto" w:fill="auto"/>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(六) 其他认定的符合降级的情况。</w:t>
      </w:r>
    </w:p>
    <w:p w14:paraId="4C38CCDA">
      <w:pPr>
        <w:keepNext w:val="0"/>
        <w:keepLines w:val="0"/>
        <w:widowControl/>
        <w:suppressLineNumbers w:val="0"/>
        <w:jc w:val="left"/>
        <w:rPr>
          <w:rFonts w:hint="eastAsia" w:ascii="仿宋" w:hAnsi="仿宋" w:eastAsia="仿宋" w:cs="仿宋"/>
          <w:color w:val="000000"/>
          <w:kern w:val="0"/>
          <w:sz w:val="28"/>
          <w:szCs w:val="28"/>
          <w:lang w:val="en-US" w:eastAsia="zh-CN" w:bidi="ar"/>
        </w:rPr>
      </w:pPr>
    </w:p>
    <w:p w14:paraId="10C29378">
      <w:pPr>
        <w:keepNext w:val="0"/>
        <w:keepLines w:val="0"/>
        <w:widowControl/>
        <w:suppressLineNumbers w:val="0"/>
        <w:jc w:val="center"/>
        <w:rPr>
          <w:rFonts w:hint="eastAsia" w:ascii="楷体_GB2312" w:hAnsi="Times New Roman" w:eastAsia="楷体_GB2312" w:cs="Times New Roman"/>
          <w:color w:val="000000"/>
          <w:sz w:val="32"/>
          <w:szCs w:val="32"/>
          <w:lang w:val="en-US" w:eastAsia="zh-CN"/>
        </w:rPr>
      </w:pPr>
      <w:r>
        <w:rPr>
          <w:rFonts w:hint="eastAsia" w:ascii="楷体_GB2312" w:hAnsi="Times New Roman" w:eastAsia="楷体_GB2312" w:cs="Times New Roman"/>
          <w:color w:val="000000"/>
          <w:sz w:val="32"/>
          <w:szCs w:val="32"/>
          <w:lang w:val="en-US" w:eastAsia="zh-CN"/>
        </w:rPr>
        <w:t>第四节 职级调整程序</w:t>
      </w:r>
    </w:p>
    <w:p w14:paraId="546C307C">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第十一条</w:t>
      </w:r>
      <w:r>
        <w:rPr>
          <w:rFonts w:ascii="仿宋" w:hAnsi="仿宋" w:eastAsia="仿宋" w:cs="仿宋"/>
          <w:b/>
          <w:bCs/>
          <w:color w:val="000000"/>
          <w:kern w:val="0"/>
          <w:sz w:val="28"/>
          <w:szCs w:val="28"/>
          <w:lang w:val="en-US" w:eastAsia="zh-CN" w:bidi="ar"/>
        </w:rPr>
        <w:t xml:space="preserve"> </w:t>
      </w:r>
      <w:r>
        <w:rPr>
          <w:rFonts w:hint="eastAsia" w:ascii="仿宋_GB2312" w:hAnsi="Times New Roman" w:eastAsia="仿宋_GB2312" w:cs="Times New Roman"/>
          <w:sz w:val="32"/>
          <w:szCs w:val="32"/>
          <w:lang w:val="en-US" w:eastAsia="zh-CN"/>
        </w:rPr>
        <w:t>以每个自然年为一个窗口期评估员工工作能力与职级匹配情况，进行职级调整。</w:t>
      </w:r>
    </w:p>
    <w:p w14:paraId="78FC07C0">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第十二条</w:t>
      </w:r>
      <w:r>
        <w:rPr>
          <w:rFonts w:ascii="仿宋" w:hAnsi="仿宋" w:eastAsia="仿宋" w:cs="仿宋"/>
          <w:b/>
          <w:bCs/>
          <w:color w:val="000000"/>
          <w:kern w:val="0"/>
          <w:sz w:val="28"/>
          <w:szCs w:val="28"/>
          <w:lang w:val="en-US" w:eastAsia="zh-CN" w:bidi="ar"/>
        </w:rPr>
        <w:t xml:space="preserve"> </w:t>
      </w:r>
      <w:r>
        <w:rPr>
          <w:rFonts w:hint="eastAsia" w:ascii="仿宋_GB2312" w:hAnsi="Times New Roman" w:eastAsia="仿宋_GB2312" w:cs="Times New Roman"/>
          <w:sz w:val="32"/>
          <w:szCs w:val="32"/>
          <w:lang w:val="en-US" w:eastAsia="zh-CN"/>
        </w:rPr>
        <w:t xml:space="preserve">职级调整程序： </w:t>
      </w:r>
    </w:p>
    <w:p w14:paraId="2B488CF4">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(一) 由综合管理部组织，各部门提名，理事长办公会评定；</w:t>
      </w:r>
    </w:p>
    <w:p w14:paraId="1D99A300">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(二) 部门负责人与所负责的受评人员进行评定结果的沟通，对于员工有异议的结果及时反馈给综合部；</w:t>
      </w:r>
    </w:p>
    <w:p w14:paraId="234B4B20">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(三) 综合部接受员工对评定结果的咨询和申诉，结合各自部门负责人的反馈结果，反馈秘书长决策评定结果；</w:t>
      </w:r>
    </w:p>
    <w:p w14:paraId="55A14B71">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(五) 综合部以红头文件正式公布理事长办公会职级评定结果，并落实好职级调整对应的其他人事信息的配套调整。</w:t>
      </w:r>
    </w:p>
    <w:p w14:paraId="1F0FB12D">
      <w:pPr>
        <w:keepNext w:val="0"/>
        <w:keepLines w:val="0"/>
        <w:widowControl/>
        <w:suppressLineNumbers w:val="0"/>
        <w:jc w:val="center"/>
        <w:rPr>
          <w:rFonts w:ascii="黑体" w:hAnsi="宋体" w:eastAsia="黑体" w:cs="黑体"/>
          <w:b/>
          <w:bCs/>
          <w:color w:val="000000"/>
          <w:kern w:val="0"/>
          <w:sz w:val="31"/>
          <w:szCs w:val="31"/>
          <w:lang w:val="en-US" w:eastAsia="zh-CN" w:bidi="ar"/>
        </w:rPr>
      </w:pPr>
    </w:p>
    <w:p w14:paraId="08629793">
      <w:pPr>
        <w:spacing w:line="560" w:lineRule="exact"/>
        <w:jc w:val="center"/>
        <w:rPr>
          <w:rFonts w:hint="eastAsia" w:ascii="黑体" w:hAnsi="黑体" w:eastAsia="黑体" w:cs="Times New Roman"/>
          <w:color w:val="000000"/>
          <w:sz w:val="32"/>
          <w:szCs w:val="32"/>
          <w:lang w:val="en-US" w:eastAsia="zh-CN"/>
        </w:rPr>
      </w:pPr>
      <w:r>
        <w:rPr>
          <w:rFonts w:hint="eastAsia" w:ascii="黑体" w:hAnsi="黑体" w:eastAsia="黑体" w:cs="Times New Roman"/>
          <w:color w:val="000000"/>
          <w:sz w:val="32"/>
          <w:szCs w:val="32"/>
          <w:lang w:val="en-US" w:eastAsia="zh-CN"/>
        </w:rPr>
        <w:t>第三章 薪酬结构</w:t>
      </w:r>
    </w:p>
    <w:p w14:paraId="74D4FAB8">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第十三条</w:t>
      </w:r>
      <w:r>
        <w:rPr>
          <w:rFonts w:ascii="仿宋" w:hAnsi="仿宋" w:eastAsia="仿宋" w:cs="仿宋"/>
          <w:b/>
          <w:bCs/>
          <w:color w:val="000000"/>
          <w:kern w:val="0"/>
          <w:sz w:val="31"/>
          <w:szCs w:val="31"/>
          <w:lang w:val="en-US" w:eastAsia="zh-CN" w:bidi="ar"/>
        </w:rPr>
        <w:t xml:space="preserve"> </w:t>
      </w:r>
      <w:r>
        <w:rPr>
          <w:rFonts w:hint="eastAsia" w:ascii="仿宋_GB2312" w:hAnsi="Times New Roman" w:eastAsia="仿宋_GB2312" w:cs="Times New Roman"/>
          <w:sz w:val="32"/>
          <w:szCs w:val="32"/>
          <w:lang w:val="en-US" w:eastAsia="zh-CN"/>
        </w:rPr>
        <w:t>员工薪酬由</w:t>
      </w:r>
      <w:r>
        <w:rPr>
          <w:rFonts w:hint="default" w:ascii="仿宋_GB2312" w:hAnsi="Times New Roman" w:eastAsia="仿宋_GB2312" w:cs="Times New Roman"/>
          <w:sz w:val="32"/>
          <w:szCs w:val="32"/>
          <w:lang w:val="en-US" w:eastAsia="zh-CN"/>
        </w:rPr>
        <w:t>固定薪酬</w:t>
      </w:r>
      <w:r>
        <w:rPr>
          <w:rFonts w:hint="eastAsia" w:ascii="仿宋_GB2312" w:hAnsi="Times New Roman" w:eastAsia="仿宋_GB2312" w:cs="Times New Roman"/>
          <w:sz w:val="32"/>
          <w:szCs w:val="32"/>
          <w:lang w:val="en-US" w:eastAsia="zh-CN"/>
        </w:rPr>
        <w:t>、浮动薪酬、福利性收入构成。其中基本</w:t>
      </w:r>
      <w:r>
        <w:rPr>
          <w:rFonts w:hint="default" w:ascii="仿宋_GB2312" w:hAnsi="Times New Roman" w:eastAsia="仿宋_GB2312" w:cs="Times New Roman"/>
          <w:sz w:val="32"/>
          <w:szCs w:val="32"/>
          <w:lang w:val="en-US" w:eastAsia="zh-CN"/>
        </w:rPr>
        <w:t>工资为固定薪酬，</w:t>
      </w:r>
      <w:r>
        <w:rPr>
          <w:rFonts w:hint="eastAsia" w:ascii="仿宋_GB2312" w:hAnsi="Times New Roman" w:eastAsia="仿宋_GB2312" w:cs="Times New Roman"/>
          <w:sz w:val="32"/>
          <w:szCs w:val="32"/>
          <w:lang w:val="en-US" w:eastAsia="zh-CN"/>
        </w:rPr>
        <w:t>年度考核</w:t>
      </w:r>
      <w:r>
        <w:rPr>
          <w:rFonts w:hint="default" w:ascii="仿宋_GB2312" w:hAnsi="Times New Roman" w:eastAsia="仿宋_GB2312" w:cs="Times New Roman"/>
          <w:sz w:val="32"/>
          <w:szCs w:val="32"/>
          <w:lang w:val="en-US" w:eastAsia="zh-CN"/>
        </w:rPr>
        <w:t>工资为浮动薪酬。</w:t>
      </w:r>
    </w:p>
    <w:p w14:paraId="1714919C">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第十四条</w:t>
      </w:r>
      <w:r>
        <w:rPr>
          <w:rFonts w:ascii="仿宋" w:hAnsi="仿宋" w:eastAsia="仿宋" w:cs="仿宋"/>
          <w:b/>
          <w:bCs/>
          <w:color w:val="000000"/>
          <w:kern w:val="0"/>
          <w:sz w:val="31"/>
          <w:szCs w:val="31"/>
          <w:lang w:val="en-US" w:eastAsia="zh-CN" w:bidi="ar"/>
        </w:rPr>
        <w:t xml:space="preserve"> </w:t>
      </w:r>
      <w:r>
        <w:rPr>
          <w:rFonts w:hint="default" w:ascii="仿宋_GB2312" w:hAnsi="Times New Roman" w:eastAsia="仿宋_GB2312" w:cs="Times New Roman"/>
          <w:sz w:val="32"/>
          <w:szCs w:val="32"/>
          <w:lang w:val="en-US" w:eastAsia="zh-CN"/>
        </w:rPr>
        <w:t>固定薪酬：根据确定的职级，对照职级岗位对应的薪级、薪档确定基本工资。</w:t>
      </w:r>
    </w:p>
    <w:p w14:paraId="2C535956">
      <w:pPr>
        <w:keepNext w:val="0"/>
        <w:keepLines w:val="0"/>
        <w:widowControl/>
        <w:suppressLineNumbers w:val="0"/>
        <w:jc w:val="left"/>
        <w:rPr>
          <w:rFonts w:hint="default"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薪档表</w:t>
      </w:r>
    </w:p>
    <w:tbl>
      <w:tblPr>
        <w:tblStyle w:val="6"/>
        <w:tblW w:w="10025" w:type="dxa"/>
        <w:jc w:val="center"/>
        <w:tblLayout w:type="fixed"/>
        <w:tblCellMar>
          <w:top w:w="0" w:type="dxa"/>
          <w:left w:w="108" w:type="dxa"/>
          <w:bottom w:w="0" w:type="dxa"/>
          <w:right w:w="108" w:type="dxa"/>
        </w:tblCellMar>
      </w:tblPr>
      <w:tblGrid>
        <w:gridCol w:w="647"/>
        <w:gridCol w:w="702"/>
        <w:gridCol w:w="749"/>
        <w:gridCol w:w="718"/>
        <w:gridCol w:w="712"/>
        <w:gridCol w:w="735"/>
        <w:gridCol w:w="709"/>
        <w:gridCol w:w="743"/>
        <w:gridCol w:w="824"/>
        <w:gridCol w:w="898"/>
        <w:gridCol w:w="820"/>
        <w:gridCol w:w="889"/>
        <w:gridCol w:w="879"/>
      </w:tblGrid>
      <w:tr w14:paraId="0A969456">
        <w:tblPrEx>
          <w:tblCellMar>
            <w:top w:w="0" w:type="dxa"/>
            <w:left w:w="108" w:type="dxa"/>
            <w:bottom w:w="0" w:type="dxa"/>
            <w:right w:w="108" w:type="dxa"/>
          </w:tblCellMar>
        </w:tblPrEx>
        <w:trPr>
          <w:trHeight w:val="459" w:hRule="atLeast"/>
          <w:jc w:val="center"/>
        </w:trPr>
        <w:tc>
          <w:tcPr>
            <w:tcW w:w="647" w:type="dxa"/>
            <w:tcBorders>
              <w:top w:val="single" w:color="auto" w:sz="4" w:space="0"/>
              <w:left w:val="single" w:color="auto" w:sz="4" w:space="0"/>
              <w:bottom w:val="single" w:color="auto" w:sz="4" w:space="0"/>
              <w:right w:val="single" w:color="auto" w:sz="4" w:space="0"/>
            </w:tcBorders>
            <w:shd w:val="clear" w:color="auto" w:fill="D9D9D9"/>
            <w:vAlign w:val="center"/>
          </w:tcPr>
          <w:p w14:paraId="7A375D7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职级</w:t>
            </w:r>
          </w:p>
        </w:tc>
        <w:tc>
          <w:tcPr>
            <w:tcW w:w="702" w:type="dxa"/>
            <w:tcBorders>
              <w:top w:val="single" w:color="auto" w:sz="4" w:space="0"/>
              <w:left w:val="single" w:color="auto" w:sz="4" w:space="0"/>
              <w:bottom w:val="single" w:color="auto" w:sz="4" w:space="0"/>
              <w:right w:val="single" w:color="auto" w:sz="4" w:space="0"/>
            </w:tcBorders>
            <w:shd w:val="clear" w:color="auto" w:fill="D9D9D9"/>
            <w:vAlign w:val="center"/>
          </w:tcPr>
          <w:p w14:paraId="42A404A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1级</w:t>
            </w:r>
          </w:p>
        </w:tc>
        <w:tc>
          <w:tcPr>
            <w:tcW w:w="749" w:type="dxa"/>
            <w:tcBorders>
              <w:top w:val="single" w:color="auto" w:sz="4" w:space="0"/>
              <w:left w:val="nil"/>
              <w:bottom w:val="single" w:color="auto" w:sz="4" w:space="0"/>
              <w:right w:val="single" w:color="auto" w:sz="4" w:space="0"/>
            </w:tcBorders>
            <w:shd w:val="clear" w:color="auto" w:fill="D9D9D9"/>
            <w:vAlign w:val="center"/>
          </w:tcPr>
          <w:p w14:paraId="5816BAD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2级</w:t>
            </w:r>
          </w:p>
        </w:tc>
        <w:tc>
          <w:tcPr>
            <w:tcW w:w="718" w:type="dxa"/>
            <w:tcBorders>
              <w:top w:val="single" w:color="auto" w:sz="4" w:space="0"/>
              <w:left w:val="nil"/>
              <w:bottom w:val="single" w:color="auto" w:sz="4" w:space="0"/>
              <w:right w:val="single" w:color="auto" w:sz="4" w:space="0"/>
            </w:tcBorders>
            <w:shd w:val="clear" w:color="auto" w:fill="D9D9D9"/>
            <w:vAlign w:val="center"/>
          </w:tcPr>
          <w:p w14:paraId="68A22F3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3级</w:t>
            </w:r>
          </w:p>
        </w:tc>
        <w:tc>
          <w:tcPr>
            <w:tcW w:w="712" w:type="dxa"/>
            <w:tcBorders>
              <w:top w:val="single" w:color="auto" w:sz="4" w:space="0"/>
              <w:left w:val="nil"/>
              <w:bottom w:val="single" w:color="auto" w:sz="4" w:space="0"/>
              <w:right w:val="single" w:color="auto" w:sz="4" w:space="0"/>
            </w:tcBorders>
            <w:shd w:val="clear" w:color="auto" w:fill="D9D9D9"/>
            <w:vAlign w:val="center"/>
          </w:tcPr>
          <w:p w14:paraId="5F44C45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4级</w:t>
            </w:r>
          </w:p>
        </w:tc>
        <w:tc>
          <w:tcPr>
            <w:tcW w:w="735" w:type="dxa"/>
            <w:tcBorders>
              <w:top w:val="single" w:color="auto" w:sz="4" w:space="0"/>
              <w:left w:val="nil"/>
              <w:bottom w:val="single" w:color="auto" w:sz="4" w:space="0"/>
              <w:right w:val="single" w:color="auto" w:sz="4" w:space="0"/>
            </w:tcBorders>
            <w:shd w:val="clear" w:color="auto" w:fill="D9D9D9"/>
            <w:vAlign w:val="center"/>
          </w:tcPr>
          <w:p w14:paraId="6F8A83B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5级</w:t>
            </w:r>
          </w:p>
        </w:tc>
        <w:tc>
          <w:tcPr>
            <w:tcW w:w="709" w:type="dxa"/>
            <w:tcBorders>
              <w:top w:val="single" w:color="auto" w:sz="4" w:space="0"/>
              <w:left w:val="nil"/>
              <w:bottom w:val="single" w:color="auto" w:sz="4" w:space="0"/>
              <w:right w:val="single" w:color="auto" w:sz="4" w:space="0"/>
            </w:tcBorders>
            <w:shd w:val="clear" w:color="auto" w:fill="D9D9D9"/>
            <w:vAlign w:val="center"/>
          </w:tcPr>
          <w:p w14:paraId="4227222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6级</w:t>
            </w:r>
          </w:p>
        </w:tc>
        <w:tc>
          <w:tcPr>
            <w:tcW w:w="743" w:type="dxa"/>
            <w:tcBorders>
              <w:top w:val="single" w:color="auto" w:sz="4" w:space="0"/>
              <w:left w:val="nil"/>
              <w:bottom w:val="single" w:color="auto" w:sz="4" w:space="0"/>
              <w:right w:val="single" w:color="auto" w:sz="4" w:space="0"/>
            </w:tcBorders>
            <w:shd w:val="clear" w:color="auto" w:fill="D9D9D9"/>
            <w:vAlign w:val="center"/>
          </w:tcPr>
          <w:p w14:paraId="000733A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7级</w:t>
            </w:r>
          </w:p>
        </w:tc>
        <w:tc>
          <w:tcPr>
            <w:tcW w:w="824" w:type="dxa"/>
            <w:tcBorders>
              <w:top w:val="single" w:color="auto" w:sz="4" w:space="0"/>
              <w:left w:val="nil"/>
              <w:bottom w:val="single" w:color="auto" w:sz="4" w:space="0"/>
              <w:right w:val="single" w:color="auto" w:sz="4" w:space="0"/>
            </w:tcBorders>
            <w:shd w:val="clear" w:color="auto" w:fill="D9D9D9"/>
            <w:vAlign w:val="center"/>
          </w:tcPr>
          <w:p w14:paraId="0AFBF1D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8级</w:t>
            </w:r>
          </w:p>
        </w:tc>
        <w:tc>
          <w:tcPr>
            <w:tcW w:w="898" w:type="dxa"/>
            <w:tcBorders>
              <w:top w:val="single" w:color="auto" w:sz="4" w:space="0"/>
              <w:left w:val="nil"/>
              <w:bottom w:val="single" w:color="auto" w:sz="4" w:space="0"/>
              <w:right w:val="single" w:color="auto" w:sz="4" w:space="0"/>
            </w:tcBorders>
            <w:shd w:val="clear" w:color="auto" w:fill="D9D9D9"/>
            <w:vAlign w:val="center"/>
          </w:tcPr>
          <w:p w14:paraId="3B23624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9级</w:t>
            </w:r>
          </w:p>
        </w:tc>
        <w:tc>
          <w:tcPr>
            <w:tcW w:w="820" w:type="dxa"/>
            <w:tcBorders>
              <w:top w:val="single" w:color="auto" w:sz="4" w:space="0"/>
              <w:left w:val="nil"/>
              <w:bottom w:val="single" w:color="auto" w:sz="4" w:space="0"/>
              <w:right w:val="single" w:color="auto" w:sz="4" w:space="0"/>
            </w:tcBorders>
            <w:shd w:val="clear" w:color="auto" w:fill="D9D9D9"/>
            <w:vAlign w:val="center"/>
          </w:tcPr>
          <w:p w14:paraId="1BB4357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10级</w:t>
            </w:r>
          </w:p>
        </w:tc>
        <w:tc>
          <w:tcPr>
            <w:tcW w:w="889" w:type="dxa"/>
            <w:tcBorders>
              <w:top w:val="single" w:color="auto" w:sz="4" w:space="0"/>
              <w:left w:val="nil"/>
              <w:bottom w:val="single" w:color="auto" w:sz="4" w:space="0"/>
              <w:right w:val="single" w:color="auto" w:sz="4" w:space="0"/>
            </w:tcBorders>
            <w:shd w:val="clear" w:color="auto" w:fill="D9D9D9"/>
            <w:vAlign w:val="center"/>
          </w:tcPr>
          <w:p w14:paraId="489ACA2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11级</w:t>
            </w:r>
          </w:p>
        </w:tc>
        <w:tc>
          <w:tcPr>
            <w:tcW w:w="879" w:type="dxa"/>
            <w:tcBorders>
              <w:top w:val="single" w:color="auto" w:sz="4" w:space="0"/>
              <w:left w:val="nil"/>
              <w:bottom w:val="single" w:color="auto" w:sz="4" w:space="0"/>
              <w:right w:val="single" w:color="auto" w:sz="4" w:space="0"/>
            </w:tcBorders>
            <w:shd w:val="clear" w:color="auto" w:fill="D9D9D9"/>
            <w:vAlign w:val="center"/>
          </w:tcPr>
          <w:p w14:paraId="6BB269E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12级</w:t>
            </w:r>
          </w:p>
        </w:tc>
      </w:tr>
      <w:tr w14:paraId="0FC0FFD9">
        <w:tblPrEx>
          <w:tblCellMar>
            <w:top w:w="0" w:type="dxa"/>
            <w:left w:w="108" w:type="dxa"/>
            <w:bottom w:w="0" w:type="dxa"/>
            <w:right w:w="108" w:type="dxa"/>
          </w:tblCellMar>
        </w:tblPrEx>
        <w:trPr>
          <w:trHeight w:val="459" w:hRule="atLeast"/>
          <w:jc w:val="center"/>
        </w:trPr>
        <w:tc>
          <w:tcPr>
            <w:tcW w:w="647" w:type="dxa"/>
            <w:tcBorders>
              <w:top w:val="single" w:color="auto" w:sz="4" w:space="0"/>
              <w:left w:val="single" w:color="auto" w:sz="4" w:space="0"/>
              <w:bottom w:val="single" w:color="auto" w:sz="4" w:space="0"/>
              <w:right w:val="single" w:color="auto" w:sz="4" w:space="0"/>
            </w:tcBorders>
            <w:vAlign w:val="center"/>
          </w:tcPr>
          <w:p w14:paraId="4E9ADE8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1档</w:t>
            </w:r>
          </w:p>
        </w:tc>
        <w:tc>
          <w:tcPr>
            <w:tcW w:w="702" w:type="dxa"/>
            <w:tcBorders>
              <w:top w:val="single" w:color="auto" w:sz="4" w:space="0"/>
              <w:left w:val="single" w:color="auto" w:sz="4" w:space="0"/>
              <w:bottom w:val="single" w:color="auto" w:sz="4" w:space="0"/>
              <w:right w:val="single" w:color="auto" w:sz="4" w:space="0"/>
            </w:tcBorders>
            <w:vAlign w:val="center"/>
          </w:tcPr>
          <w:p w14:paraId="7B6E2E4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3000</w:t>
            </w:r>
          </w:p>
        </w:tc>
        <w:tc>
          <w:tcPr>
            <w:tcW w:w="749" w:type="dxa"/>
            <w:tcBorders>
              <w:top w:val="single" w:color="auto" w:sz="4" w:space="0"/>
              <w:left w:val="nil"/>
              <w:bottom w:val="single" w:color="auto" w:sz="4" w:space="0"/>
              <w:right w:val="single" w:color="auto" w:sz="4" w:space="0"/>
            </w:tcBorders>
            <w:vAlign w:val="center"/>
          </w:tcPr>
          <w:p w14:paraId="6F44F32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3450</w:t>
            </w:r>
          </w:p>
        </w:tc>
        <w:tc>
          <w:tcPr>
            <w:tcW w:w="718" w:type="dxa"/>
            <w:tcBorders>
              <w:top w:val="single" w:color="auto" w:sz="4" w:space="0"/>
              <w:left w:val="nil"/>
              <w:bottom w:val="single" w:color="auto" w:sz="4" w:space="0"/>
              <w:right w:val="single" w:color="auto" w:sz="4" w:space="0"/>
            </w:tcBorders>
            <w:vAlign w:val="center"/>
          </w:tcPr>
          <w:p w14:paraId="6FE6D08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4250</w:t>
            </w:r>
          </w:p>
        </w:tc>
        <w:tc>
          <w:tcPr>
            <w:tcW w:w="712" w:type="dxa"/>
            <w:tcBorders>
              <w:top w:val="single" w:color="auto" w:sz="4" w:space="0"/>
              <w:left w:val="nil"/>
              <w:bottom w:val="single" w:color="auto" w:sz="4" w:space="0"/>
              <w:right w:val="single" w:color="auto" w:sz="4" w:space="0"/>
            </w:tcBorders>
            <w:vAlign w:val="center"/>
          </w:tcPr>
          <w:p w14:paraId="2030C1E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4800</w:t>
            </w:r>
          </w:p>
        </w:tc>
        <w:tc>
          <w:tcPr>
            <w:tcW w:w="735" w:type="dxa"/>
            <w:tcBorders>
              <w:top w:val="single" w:color="auto" w:sz="4" w:space="0"/>
              <w:left w:val="nil"/>
              <w:bottom w:val="single" w:color="auto" w:sz="4" w:space="0"/>
              <w:right w:val="single" w:color="auto" w:sz="4" w:space="0"/>
            </w:tcBorders>
            <w:vAlign w:val="center"/>
          </w:tcPr>
          <w:p w14:paraId="5D492B8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5900</w:t>
            </w:r>
          </w:p>
        </w:tc>
        <w:tc>
          <w:tcPr>
            <w:tcW w:w="709" w:type="dxa"/>
            <w:tcBorders>
              <w:top w:val="single" w:color="auto" w:sz="4" w:space="0"/>
              <w:left w:val="nil"/>
              <w:bottom w:val="single" w:color="auto" w:sz="4" w:space="0"/>
              <w:right w:val="single" w:color="auto" w:sz="4" w:space="0"/>
            </w:tcBorders>
            <w:vAlign w:val="center"/>
          </w:tcPr>
          <w:p w14:paraId="58C2162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6750</w:t>
            </w:r>
          </w:p>
        </w:tc>
        <w:tc>
          <w:tcPr>
            <w:tcW w:w="743" w:type="dxa"/>
            <w:tcBorders>
              <w:top w:val="single" w:color="auto" w:sz="4" w:space="0"/>
              <w:left w:val="nil"/>
              <w:bottom w:val="single" w:color="auto" w:sz="4" w:space="0"/>
              <w:right w:val="single" w:color="auto" w:sz="4" w:space="0"/>
            </w:tcBorders>
            <w:vAlign w:val="center"/>
          </w:tcPr>
          <w:p w14:paraId="1AD6D7D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7700</w:t>
            </w:r>
          </w:p>
        </w:tc>
        <w:tc>
          <w:tcPr>
            <w:tcW w:w="824" w:type="dxa"/>
            <w:tcBorders>
              <w:top w:val="single" w:color="auto" w:sz="4" w:space="0"/>
              <w:left w:val="nil"/>
              <w:bottom w:val="single" w:color="auto" w:sz="4" w:space="0"/>
              <w:right w:val="single" w:color="auto" w:sz="4" w:space="0"/>
            </w:tcBorders>
            <w:vAlign w:val="center"/>
          </w:tcPr>
          <w:p w14:paraId="36E9910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8750</w:t>
            </w:r>
          </w:p>
        </w:tc>
        <w:tc>
          <w:tcPr>
            <w:tcW w:w="898" w:type="dxa"/>
            <w:tcBorders>
              <w:top w:val="single" w:color="auto" w:sz="4" w:space="0"/>
              <w:left w:val="nil"/>
              <w:bottom w:val="single" w:color="auto" w:sz="4" w:space="0"/>
              <w:right w:val="single" w:color="auto" w:sz="4" w:space="0"/>
            </w:tcBorders>
            <w:vAlign w:val="center"/>
          </w:tcPr>
          <w:p w14:paraId="3ED4419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10200</w:t>
            </w:r>
          </w:p>
        </w:tc>
        <w:tc>
          <w:tcPr>
            <w:tcW w:w="820" w:type="dxa"/>
            <w:tcBorders>
              <w:top w:val="single" w:color="auto" w:sz="4" w:space="0"/>
              <w:left w:val="nil"/>
              <w:bottom w:val="single" w:color="auto" w:sz="4" w:space="0"/>
              <w:right w:val="single" w:color="auto" w:sz="4" w:space="0"/>
            </w:tcBorders>
            <w:vAlign w:val="center"/>
          </w:tcPr>
          <w:p w14:paraId="13E185F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11650</w:t>
            </w:r>
          </w:p>
        </w:tc>
        <w:tc>
          <w:tcPr>
            <w:tcW w:w="889" w:type="dxa"/>
            <w:tcBorders>
              <w:top w:val="single" w:color="auto" w:sz="4" w:space="0"/>
              <w:left w:val="nil"/>
              <w:bottom w:val="single" w:color="auto" w:sz="4" w:space="0"/>
              <w:right w:val="single" w:color="auto" w:sz="4" w:space="0"/>
            </w:tcBorders>
            <w:vAlign w:val="center"/>
          </w:tcPr>
          <w:p w14:paraId="11CFBCD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13300</w:t>
            </w:r>
          </w:p>
        </w:tc>
        <w:tc>
          <w:tcPr>
            <w:tcW w:w="879" w:type="dxa"/>
            <w:tcBorders>
              <w:top w:val="single" w:color="auto" w:sz="4" w:space="0"/>
              <w:left w:val="nil"/>
              <w:bottom w:val="single" w:color="auto" w:sz="4" w:space="0"/>
              <w:right w:val="single" w:color="auto" w:sz="4" w:space="0"/>
            </w:tcBorders>
            <w:vAlign w:val="center"/>
          </w:tcPr>
          <w:p w14:paraId="070C985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15100</w:t>
            </w:r>
          </w:p>
        </w:tc>
      </w:tr>
      <w:tr w14:paraId="16C35B55">
        <w:tblPrEx>
          <w:tblCellMar>
            <w:top w:w="0" w:type="dxa"/>
            <w:left w:w="108" w:type="dxa"/>
            <w:bottom w:w="0" w:type="dxa"/>
            <w:right w:w="108" w:type="dxa"/>
          </w:tblCellMar>
        </w:tblPrEx>
        <w:trPr>
          <w:trHeight w:val="459" w:hRule="atLeast"/>
          <w:jc w:val="center"/>
        </w:trPr>
        <w:tc>
          <w:tcPr>
            <w:tcW w:w="647" w:type="dxa"/>
            <w:tcBorders>
              <w:top w:val="nil"/>
              <w:left w:val="single" w:color="auto" w:sz="4" w:space="0"/>
              <w:bottom w:val="single" w:color="auto" w:sz="4" w:space="0"/>
              <w:right w:val="single" w:color="auto" w:sz="4" w:space="0"/>
            </w:tcBorders>
            <w:vAlign w:val="center"/>
          </w:tcPr>
          <w:p w14:paraId="2A12EE7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2档</w:t>
            </w:r>
          </w:p>
        </w:tc>
        <w:tc>
          <w:tcPr>
            <w:tcW w:w="702" w:type="dxa"/>
            <w:tcBorders>
              <w:top w:val="nil"/>
              <w:left w:val="single" w:color="auto" w:sz="4" w:space="0"/>
              <w:bottom w:val="single" w:color="auto" w:sz="4" w:space="0"/>
              <w:right w:val="single" w:color="auto" w:sz="4" w:space="0"/>
            </w:tcBorders>
            <w:vAlign w:val="center"/>
          </w:tcPr>
          <w:p w14:paraId="6A89F51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3100</w:t>
            </w:r>
          </w:p>
        </w:tc>
        <w:tc>
          <w:tcPr>
            <w:tcW w:w="749" w:type="dxa"/>
            <w:tcBorders>
              <w:top w:val="nil"/>
              <w:left w:val="nil"/>
              <w:bottom w:val="single" w:color="auto" w:sz="4" w:space="0"/>
              <w:right w:val="single" w:color="auto" w:sz="4" w:space="0"/>
            </w:tcBorders>
            <w:vAlign w:val="center"/>
          </w:tcPr>
          <w:p w14:paraId="4E75EC1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3600</w:t>
            </w:r>
          </w:p>
        </w:tc>
        <w:tc>
          <w:tcPr>
            <w:tcW w:w="718" w:type="dxa"/>
            <w:tcBorders>
              <w:top w:val="nil"/>
              <w:left w:val="nil"/>
              <w:bottom w:val="single" w:color="auto" w:sz="4" w:space="0"/>
              <w:right w:val="single" w:color="auto" w:sz="4" w:space="0"/>
            </w:tcBorders>
            <w:vAlign w:val="center"/>
          </w:tcPr>
          <w:p w14:paraId="18FDC07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4400</w:t>
            </w:r>
          </w:p>
        </w:tc>
        <w:tc>
          <w:tcPr>
            <w:tcW w:w="712" w:type="dxa"/>
            <w:tcBorders>
              <w:top w:val="nil"/>
              <w:left w:val="nil"/>
              <w:bottom w:val="single" w:color="auto" w:sz="4" w:space="0"/>
              <w:right w:val="single" w:color="auto" w:sz="4" w:space="0"/>
            </w:tcBorders>
            <w:vAlign w:val="center"/>
          </w:tcPr>
          <w:p w14:paraId="70380F3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5000</w:t>
            </w:r>
          </w:p>
        </w:tc>
        <w:tc>
          <w:tcPr>
            <w:tcW w:w="735" w:type="dxa"/>
            <w:tcBorders>
              <w:top w:val="nil"/>
              <w:left w:val="nil"/>
              <w:bottom w:val="single" w:color="auto" w:sz="4" w:space="0"/>
              <w:right w:val="single" w:color="auto" w:sz="4" w:space="0"/>
            </w:tcBorders>
            <w:vAlign w:val="center"/>
          </w:tcPr>
          <w:p w14:paraId="08194CD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6100</w:t>
            </w:r>
          </w:p>
        </w:tc>
        <w:tc>
          <w:tcPr>
            <w:tcW w:w="709" w:type="dxa"/>
            <w:tcBorders>
              <w:top w:val="nil"/>
              <w:left w:val="nil"/>
              <w:bottom w:val="single" w:color="auto" w:sz="4" w:space="0"/>
              <w:right w:val="single" w:color="auto" w:sz="4" w:space="0"/>
            </w:tcBorders>
            <w:vAlign w:val="center"/>
          </w:tcPr>
          <w:p w14:paraId="5E4465D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7000</w:t>
            </w:r>
          </w:p>
        </w:tc>
        <w:tc>
          <w:tcPr>
            <w:tcW w:w="743" w:type="dxa"/>
            <w:tcBorders>
              <w:top w:val="nil"/>
              <w:left w:val="nil"/>
              <w:bottom w:val="single" w:color="auto" w:sz="4" w:space="0"/>
              <w:right w:val="single" w:color="auto" w:sz="4" w:space="0"/>
            </w:tcBorders>
            <w:vAlign w:val="center"/>
          </w:tcPr>
          <w:p w14:paraId="6C0F182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8000</w:t>
            </w:r>
          </w:p>
        </w:tc>
        <w:tc>
          <w:tcPr>
            <w:tcW w:w="824" w:type="dxa"/>
            <w:tcBorders>
              <w:top w:val="nil"/>
              <w:left w:val="nil"/>
              <w:bottom w:val="single" w:color="auto" w:sz="4" w:space="0"/>
              <w:right w:val="single" w:color="auto" w:sz="4" w:space="0"/>
            </w:tcBorders>
            <w:vAlign w:val="center"/>
          </w:tcPr>
          <w:p w14:paraId="4BBC126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9100</w:t>
            </w:r>
          </w:p>
        </w:tc>
        <w:tc>
          <w:tcPr>
            <w:tcW w:w="898" w:type="dxa"/>
            <w:tcBorders>
              <w:top w:val="nil"/>
              <w:left w:val="nil"/>
              <w:bottom w:val="single" w:color="auto" w:sz="4" w:space="0"/>
              <w:right w:val="single" w:color="auto" w:sz="4" w:space="0"/>
            </w:tcBorders>
            <w:vAlign w:val="center"/>
          </w:tcPr>
          <w:p w14:paraId="5119416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10600</w:t>
            </w:r>
          </w:p>
        </w:tc>
        <w:tc>
          <w:tcPr>
            <w:tcW w:w="820" w:type="dxa"/>
            <w:tcBorders>
              <w:top w:val="nil"/>
              <w:left w:val="nil"/>
              <w:bottom w:val="single" w:color="auto" w:sz="4" w:space="0"/>
              <w:right w:val="single" w:color="auto" w:sz="4" w:space="0"/>
            </w:tcBorders>
            <w:vAlign w:val="center"/>
          </w:tcPr>
          <w:p w14:paraId="0A5033F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12100</w:t>
            </w:r>
          </w:p>
        </w:tc>
        <w:tc>
          <w:tcPr>
            <w:tcW w:w="889" w:type="dxa"/>
            <w:tcBorders>
              <w:top w:val="nil"/>
              <w:left w:val="nil"/>
              <w:bottom w:val="single" w:color="auto" w:sz="4" w:space="0"/>
              <w:right w:val="single" w:color="auto" w:sz="4" w:space="0"/>
            </w:tcBorders>
            <w:vAlign w:val="center"/>
          </w:tcPr>
          <w:p w14:paraId="7C7166F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13800</w:t>
            </w:r>
          </w:p>
        </w:tc>
        <w:tc>
          <w:tcPr>
            <w:tcW w:w="879" w:type="dxa"/>
            <w:tcBorders>
              <w:top w:val="nil"/>
              <w:left w:val="nil"/>
              <w:bottom w:val="single" w:color="auto" w:sz="4" w:space="0"/>
              <w:right w:val="single" w:color="auto" w:sz="4" w:space="0"/>
            </w:tcBorders>
            <w:vAlign w:val="center"/>
          </w:tcPr>
          <w:p w14:paraId="74A8F27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15600</w:t>
            </w:r>
          </w:p>
        </w:tc>
      </w:tr>
      <w:tr w14:paraId="5C2A3302">
        <w:tblPrEx>
          <w:tblCellMar>
            <w:top w:w="0" w:type="dxa"/>
            <w:left w:w="108" w:type="dxa"/>
            <w:bottom w:w="0" w:type="dxa"/>
            <w:right w:w="108" w:type="dxa"/>
          </w:tblCellMar>
        </w:tblPrEx>
        <w:trPr>
          <w:trHeight w:val="459" w:hRule="atLeast"/>
          <w:jc w:val="center"/>
        </w:trPr>
        <w:tc>
          <w:tcPr>
            <w:tcW w:w="647" w:type="dxa"/>
            <w:tcBorders>
              <w:top w:val="nil"/>
              <w:left w:val="single" w:color="auto" w:sz="4" w:space="0"/>
              <w:bottom w:val="single" w:color="auto" w:sz="4" w:space="0"/>
              <w:right w:val="single" w:color="auto" w:sz="4" w:space="0"/>
            </w:tcBorders>
            <w:vAlign w:val="center"/>
          </w:tcPr>
          <w:p w14:paraId="6D9EC6C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3档</w:t>
            </w:r>
          </w:p>
        </w:tc>
        <w:tc>
          <w:tcPr>
            <w:tcW w:w="702" w:type="dxa"/>
            <w:tcBorders>
              <w:top w:val="nil"/>
              <w:left w:val="single" w:color="auto" w:sz="4" w:space="0"/>
              <w:bottom w:val="single" w:color="auto" w:sz="4" w:space="0"/>
              <w:right w:val="single" w:color="auto" w:sz="4" w:space="0"/>
            </w:tcBorders>
            <w:vAlign w:val="center"/>
          </w:tcPr>
          <w:p w14:paraId="4B40CFC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3200</w:t>
            </w:r>
          </w:p>
        </w:tc>
        <w:tc>
          <w:tcPr>
            <w:tcW w:w="749" w:type="dxa"/>
            <w:tcBorders>
              <w:top w:val="nil"/>
              <w:left w:val="nil"/>
              <w:bottom w:val="single" w:color="auto" w:sz="4" w:space="0"/>
              <w:right w:val="single" w:color="auto" w:sz="4" w:space="0"/>
            </w:tcBorders>
            <w:vAlign w:val="center"/>
          </w:tcPr>
          <w:p w14:paraId="4ED3799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3750</w:t>
            </w:r>
          </w:p>
        </w:tc>
        <w:tc>
          <w:tcPr>
            <w:tcW w:w="718" w:type="dxa"/>
            <w:tcBorders>
              <w:top w:val="nil"/>
              <w:left w:val="nil"/>
              <w:bottom w:val="single" w:color="auto" w:sz="4" w:space="0"/>
              <w:right w:val="single" w:color="auto" w:sz="4" w:space="0"/>
            </w:tcBorders>
            <w:vAlign w:val="center"/>
          </w:tcPr>
          <w:p w14:paraId="2F4F252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4550</w:t>
            </w:r>
          </w:p>
        </w:tc>
        <w:tc>
          <w:tcPr>
            <w:tcW w:w="712" w:type="dxa"/>
            <w:tcBorders>
              <w:top w:val="nil"/>
              <w:left w:val="nil"/>
              <w:bottom w:val="single" w:color="auto" w:sz="4" w:space="0"/>
              <w:right w:val="single" w:color="auto" w:sz="4" w:space="0"/>
            </w:tcBorders>
            <w:vAlign w:val="center"/>
          </w:tcPr>
          <w:p w14:paraId="1735560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5200</w:t>
            </w:r>
          </w:p>
        </w:tc>
        <w:tc>
          <w:tcPr>
            <w:tcW w:w="735" w:type="dxa"/>
            <w:tcBorders>
              <w:top w:val="nil"/>
              <w:left w:val="nil"/>
              <w:bottom w:val="single" w:color="auto" w:sz="4" w:space="0"/>
              <w:right w:val="single" w:color="auto" w:sz="4" w:space="0"/>
            </w:tcBorders>
            <w:vAlign w:val="center"/>
          </w:tcPr>
          <w:p w14:paraId="57D2093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6300</w:t>
            </w:r>
          </w:p>
        </w:tc>
        <w:tc>
          <w:tcPr>
            <w:tcW w:w="709" w:type="dxa"/>
            <w:tcBorders>
              <w:top w:val="nil"/>
              <w:left w:val="nil"/>
              <w:bottom w:val="single" w:color="auto" w:sz="4" w:space="0"/>
              <w:right w:val="single" w:color="auto" w:sz="4" w:space="0"/>
            </w:tcBorders>
            <w:vAlign w:val="center"/>
          </w:tcPr>
          <w:p w14:paraId="7D27B48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7250</w:t>
            </w:r>
          </w:p>
        </w:tc>
        <w:tc>
          <w:tcPr>
            <w:tcW w:w="743" w:type="dxa"/>
            <w:tcBorders>
              <w:top w:val="nil"/>
              <w:left w:val="nil"/>
              <w:bottom w:val="single" w:color="auto" w:sz="4" w:space="0"/>
              <w:right w:val="single" w:color="auto" w:sz="4" w:space="0"/>
            </w:tcBorders>
            <w:vAlign w:val="center"/>
          </w:tcPr>
          <w:p w14:paraId="66AA546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8300</w:t>
            </w:r>
          </w:p>
        </w:tc>
        <w:tc>
          <w:tcPr>
            <w:tcW w:w="824" w:type="dxa"/>
            <w:tcBorders>
              <w:top w:val="nil"/>
              <w:left w:val="nil"/>
              <w:bottom w:val="single" w:color="auto" w:sz="4" w:space="0"/>
              <w:right w:val="single" w:color="auto" w:sz="4" w:space="0"/>
            </w:tcBorders>
            <w:vAlign w:val="center"/>
          </w:tcPr>
          <w:p w14:paraId="7BD1632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9450</w:t>
            </w:r>
          </w:p>
        </w:tc>
        <w:tc>
          <w:tcPr>
            <w:tcW w:w="898" w:type="dxa"/>
            <w:tcBorders>
              <w:top w:val="nil"/>
              <w:left w:val="nil"/>
              <w:bottom w:val="single" w:color="auto" w:sz="4" w:space="0"/>
              <w:right w:val="single" w:color="auto" w:sz="4" w:space="0"/>
            </w:tcBorders>
            <w:vAlign w:val="center"/>
          </w:tcPr>
          <w:p w14:paraId="4C1B4EC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11000</w:t>
            </w:r>
          </w:p>
        </w:tc>
        <w:tc>
          <w:tcPr>
            <w:tcW w:w="820" w:type="dxa"/>
            <w:tcBorders>
              <w:top w:val="nil"/>
              <w:left w:val="nil"/>
              <w:bottom w:val="single" w:color="auto" w:sz="4" w:space="0"/>
              <w:right w:val="single" w:color="auto" w:sz="4" w:space="0"/>
            </w:tcBorders>
            <w:vAlign w:val="center"/>
          </w:tcPr>
          <w:p w14:paraId="547992C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12550</w:t>
            </w:r>
          </w:p>
        </w:tc>
        <w:tc>
          <w:tcPr>
            <w:tcW w:w="889" w:type="dxa"/>
            <w:tcBorders>
              <w:top w:val="nil"/>
              <w:left w:val="nil"/>
              <w:bottom w:val="single" w:color="auto" w:sz="4" w:space="0"/>
              <w:right w:val="single" w:color="auto" w:sz="4" w:space="0"/>
            </w:tcBorders>
            <w:vAlign w:val="center"/>
          </w:tcPr>
          <w:p w14:paraId="1FCA986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14300</w:t>
            </w:r>
          </w:p>
        </w:tc>
        <w:tc>
          <w:tcPr>
            <w:tcW w:w="879" w:type="dxa"/>
            <w:tcBorders>
              <w:top w:val="nil"/>
              <w:left w:val="nil"/>
              <w:bottom w:val="single" w:color="auto" w:sz="4" w:space="0"/>
              <w:right w:val="single" w:color="auto" w:sz="4" w:space="0"/>
            </w:tcBorders>
            <w:vAlign w:val="center"/>
          </w:tcPr>
          <w:p w14:paraId="165AEBF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16100</w:t>
            </w:r>
          </w:p>
        </w:tc>
      </w:tr>
      <w:tr w14:paraId="21D5ABF0">
        <w:tblPrEx>
          <w:tblCellMar>
            <w:top w:w="0" w:type="dxa"/>
            <w:left w:w="108" w:type="dxa"/>
            <w:bottom w:w="0" w:type="dxa"/>
            <w:right w:w="108" w:type="dxa"/>
          </w:tblCellMar>
        </w:tblPrEx>
        <w:trPr>
          <w:trHeight w:val="459" w:hRule="atLeast"/>
          <w:jc w:val="center"/>
        </w:trPr>
        <w:tc>
          <w:tcPr>
            <w:tcW w:w="647" w:type="dxa"/>
            <w:tcBorders>
              <w:top w:val="nil"/>
              <w:left w:val="single" w:color="auto" w:sz="4" w:space="0"/>
              <w:bottom w:val="single" w:color="auto" w:sz="4" w:space="0"/>
              <w:right w:val="single" w:color="auto" w:sz="4" w:space="0"/>
            </w:tcBorders>
            <w:vAlign w:val="center"/>
          </w:tcPr>
          <w:p w14:paraId="451F2EB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4档</w:t>
            </w:r>
          </w:p>
        </w:tc>
        <w:tc>
          <w:tcPr>
            <w:tcW w:w="702" w:type="dxa"/>
            <w:tcBorders>
              <w:top w:val="nil"/>
              <w:left w:val="single" w:color="auto" w:sz="4" w:space="0"/>
              <w:bottom w:val="single" w:color="auto" w:sz="4" w:space="0"/>
              <w:right w:val="single" w:color="auto" w:sz="4" w:space="0"/>
            </w:tcBorders>
            <w:vAlign w:val="center"/>
          </w:tcPr>
          <w:p w14:paraId="506C946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3300</w:t>
            </w:r>
          </w:p>
        </w:tc>
        <w:tc>
          <w:tcPr>
            <w:tcW w:w="749" w:type="dxa"/>
            <w:tcBorders>
              <w:top w:val="nil"/>
              <w:left w:val="nil"/>
              <w:bottom w:val="single" w:color="auto" w:sz="4" w:space="0"/>
              <w:right w:val="single" w:color="auto" w:sz="4" w:space="0"/>
            </w:tcBorders>
            <w:vAlign w:val="center"/>
          </w:tcPr>
          <w:p w14:paraId="06085A7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3900</w:t>
            </w:r>
          </w:p>
        </w:tc>
        <w:tc>
          <w:tcPr>
            <w:tcW w:w="718" w:type="dxa"/>
            <w:tcBorders>
              <w:top w:val="nil"/>
              <w:left w:val="nil"/>
              <w:bottom w:val="single" w:color="auto" w:sz="4" w:space="0"/>
              <w:right w:val="single" w:color="auto" w:sz="4" w:space="0"/>
            </w:tcBorders>
            <w:vAlign w:val="center"/>
          </w:tcPr>
          <w:p w14:paraId="2B00929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4700</w:t>
            </w:r>
          </w:p>
        </w:tc>
        <w:tc>
          <w:tcPr>
            <w:tcW w:w="712" w:type="dxa"/>
            <w:tcBorders>
              <w:top w:val="nil"/>
              <w:left w:val="nil"/>
              <w:bottom w:val="single" w:color="auto" w:sz="4" w:space="0"/>
              <w:right w:val="single" w:color="auto" w:sz="4" w:space="0"/>
            </w:tcBorders>
            <w:vAlign w:val="center"/>
          </w:tcPr>
          <w:p w14:paraId="368BDAF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5400</w:t>
            </w:r>
          </w:p>
        </w:tc>
        <w:tc>
          <w:tcPr>
            <w:tcW w:w="735" w:type="dxa"/>
            <w:tcBorders>
              <w:top w:val="nil"/>
              <w:left w:val="nil"/>
              <w:bottom w:val="single" w:color="auto" w:sz="4" w:space="0"/>
              <w:right w:val="single" w:color="auto" w:sz="4" w:space="0"/>
            </w:tcBorders>
            <w:vAlign w:val="center"/>
          </w:tcPr>
          <w:p w14:paraId="0BD3C35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6500</w:t>
            </w:r>
          </w:p>
        </w:tc>
        <w:tc>
          <w:tcPr>
            <w:tcW w:w="709" w:type="dxa"/>
            <w:tcBorders>
              <w:top w:val="nil"/>
              <w:left w:val="nil"/>
              <w:bottom w:val="single" w:color="auto" w:sz="4" w:space="0"/>
              <w:right w:val="single" w:color="auto" w:sz="4" w:space="0"/>
            </w:tcBorders>
            <w:vAlign w:val="center"/>
          </w:tcPr>
          <w:p w14:paraId="10D5DCA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7500</w:t>
            </w:r>
          </w:p>
        </w:tc>
        <w:tc>
          <w:tcPr>
            <w:tcW w:w="743" w:type="dxa"/>
            <w:tcBorders>
              <w:top w:val="nil"/>
              <w:left w:val="nil"/>
              <w:bottom w:val="single" w:color="auto" w:sz="4" w:space="0"/>
              <w:right w:val="single" w:color="auto" w:sz="4" w:space="0"/>
            </w:tcBorders>
            <w:vAlign w:val="center"/>
          </w:tcPr>
          <w:p w14:paraId="355E3BF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8600</w:t>
            </w:r>
          </w:p>
        </w:tc>
        <w:tc>
          <w:tcPr>
            <w:tcW w:w="824" w:type="dxa"/>
            <w:tcBorders>
              <w:top w:val="nil"/>
              <w:left w:val="nil"/>
              <w:bottom w:val="single" w:color="auto" w:sz="4" w:space="0"/>
              <w:right w:val="single" w:color="auto" w:sz="4" w:space="0"/>
            </w:tcBorders>
            <w:vAlign w:val="center"/>
          </w:tcPr>
          <w:p w14:paraId="6831329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9800</w:t>
            </w:r>
          </w:p>
        </w:tc>
        <w:tc>
          <w:tcPr>
            <w:tcW w:w="898" w:type="dxa"/>
            <w:tcBorders>
              <w:top w:val="nil"/>
              <w:left w:val="nil"/>
              <w:bottom w:val="single" w:color="auto" w:sz="4" w:space="0"/>
              <w:right w:val="single" w:color="auto" w:sz="4" w:space="0"/>
            </w:tcBorders>
            <w:vAlign w:val="center"/>
          </w:tcPr>
          <w:p w14:paraId="573D1B9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11400</w:t>
            </w:r>
          </w:p>
        </w:tc>
        <w:tc>
          <w:tcPr>
            <w:tcW w:w="820" w:type="dxa"/>
            <w:tcBorders>
              <w:top w:val="nil"/>
              <w:left w:val="nil"/>
              <w:bottom w:val="single" w:color="auto" w:sz="4" w:space="0"/>
              <w:right w:val="single" w:color="auto" w:sz="4" w:space="0"/>
            </w:tcBorders>
            <w:vAlign w:val="center"/>
          </w:tcPr>
          <w:p w14:paraId="3F7C5F3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13000</w:t>
            </w:r>
          </w:p>
        </w:tc>
        <w:tc>
          <w:tcPr>
            <w:tcW w:w="889" w:type="dxa"/>
            <w:tcBorders>
              <w:top w:val="nil"/>
              <w:left w:val="nil"/>
              <w:bottom w:val="single" w:color="auto" w:sz="4" w:space="0"/>
              <w:right w:val="single" w:color="auto" w:sz="4" w:space="0"/>
            </w:tcBorders>
            <w:vAlign w:val="center"/>
          </w:tcPr>
          <w:p w14:paraId="0E15642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14800</w:t>
            </w:r>
          </w:p>
        </w:tc>
        <w:tc>
          <w:tcPr>
            <w:tcW w:w="879" w:type="dxa"/>
            <w:tcBorders>
              <w:top w:val="nil"/>
              <w:left w:val="nil"/>
              <w:bottom w:val="single" w:color="auto" w:sz="4" w:space="0"/>
              <w:right w:val="single" w:color="auto" w:sz="4" w:space="0"/>
            </w:tcBorders>
            <w:vAlign w:val="center"/>
          </w:tcPr>
          <w:p w14:paraId="590C82E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16600</w:t>
            </w:r>
          </w:p>
        </w:tc>
      </w:tr>
      <w:tr w14:paraId="49725ADE">
        <w:tblPrEx>
          <w:tblCellMar>
            <w:top w:w="0" w:type="dxa"/>
            <w:left w:w="108" w:type="dxa"/>
            <w:bottom w:w="0" w:type="dxa"/>
            <w:right w:w="108" w:type="dxa"/>
          </w:tblCellMar>
        </w:tblPrEx>
        <w:trPr>
          <w:trHeight w:val="459" w:hRule="atLeast"/>
          <w:jc w:val="center"/>
        </w:trPr>
        <w:tc>
          <w:tcPr>
            <w:tcW w:w="647" w:type="dxa"/>
            <w:tcBorders>
              <w:top w:val="nil"/>
              <w:left w:val="single" w:color="auto" w:sz="4" w:space="0"/>
              <w:bottom w:val="single" w:color="auto" w:sz="4" w:space="0"/>
              <w:right w:val="single" w:color="auto" w:sz="4" w:space="0"/>
            </w:tcBorders>
            <w:vAlign w:val="center"/>
          </w:tcPr>
          <w:p w14:paraId="17277A3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5档</w:t>
            </w:r>
          </w:p>
        </w:tc>
        <w:tc>
          <w:tcPr>
            <w:tcW w:w="702" w:type="dxa"/>
            <w:tcBorders>
              <w:top w:val="nil"/>
              <w:left w:val="single" w:color="auto" w:sz="4" w:space="0"/>
              <w:bottom w:val="single" w:color="auto" w:sz="4" w:space="0"/>
              <w:right w:val="single" w:color="auto" w:sz="4" w:space="0"/>
            </w:tcBorders>
            <w:vAlign w:val="center"/>
          </w:tcPr>
          <w:p w14:paraId="155FCD5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3400</w:t>
            </w:r>
          </w:p>
        </w:tc>
        <w:tc>
          <w:tcPr>
            <w:tcW w:w="749" w:type="dxa"/>
            <w:tcBorders>
              <w:top w:val="nil"/>
              <w:left w:val="nil"/>
              <w:bottom w:val="single" w:color="auto" w:sz="4" w:space="0"/>
              <w:right w:val="single" w:color="auto" w:sz="4" w:space="0"/>
            </w:tcBorders>
            <w:vAlign w:val="center"/>
          </w:tcPr>
          <w:p w14:paraId="35DE7BB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4050</w:t>
            </w:r>
          </w:p>
        </w:tc>
        <w:tc>
          <w:tcPr>
            <w:tcW w:w="718" w:type="dxa"/>
            <w:tcBorders>
              <w:top w:val="nil"/>
              <w:left w:val="nil"/>
              <w:bottom w:val="single" w:color="auto" w:sz="4" w:space="0"/>
              <w:right w:val="single" w:color="auto" w:sz="4" w:space="0"/>
            </w:tcBorders>
            <w:vAlign w:val="center"/>
          </w:tcPr>
          <w:p w14:paraId="346EBA8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4850</w:t>
            </w:r>
          </w:p>
        </w:tc>
        <w:tc>
          <w:tcPr>
            <w:tcW w:w="712" w:type="dxa"/>
            <w:tcBorders>
              <w:top w:val="nil"/>
              <w:left w:val="nil"/>
              <w:bottom w:val="single" w:color="auto" w:sz="4" w:space="0"/>
              <w:right w:val="single" w:color="auto" w:sz="4" w:space="0"/>
            </w:tcBorders>
            <w:vAlign w:val="center"/>
          </w:tcPr>
          <w:p w14:paraId="358B1FC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5600</w:t>
            </w:r>
          </w:p>
        </w:tc>
        <w:tc>
          <w:tcPr>
            <w:tcW w:w="735" w:type="dxa"/>
            <w:tcBorders>
              <w:top w:val="nil"/>
              <w:left w:val="nil"/>
              <w:bottom w:val="single" w:color="auto" w:sz="4" w:space="0"/>
              <w:right w:val="single" w:color="auto" w:sz="4" w:space="0"/>
            </w:tcBorders>
            <w:vAlign w:val="center"/>
          </w:tcPr>
          <w:p w14:paraId="0C3C53C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6700</w:t>
            </w:r>
          </w:p>
        </w:tc>
        <w:tc>
          <w:tcPr>
            <w:tcW w:w="709" w:type="dxa"/>
            <w:tcBorders>
              <w:top w:val="nil"/>
              <w:left w:val="nil"/>
              <w:bottom w:val="single" w:color="auto" w:sz="4" w:space="0"/>
              <w:right w:val="single" w:color="auto" w:sz="4" w:space="0"/>
            </w:tcBorders>
            <w:vAlign w:val="center"/>
          </w:tcPr>
          <w:p w14:paraId="1B53CBD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7750</w:t>
            </w:r>
          </w:p>
        </w:tc>
        <w:tc>
          <w:tcPr>
            <w:tcW w:w="743" w:type="dxa"/>
            <w:tcBorders>
              <w:top w:val="nil"/>
              <w:left w:val="nil"/>
              <w:bottom w:val="single" w:color="auto" w:sz="4" w:space="0"/>
              <w:right w:val="single" w:color="auto" w:sz="4" w:space="0"/>
            </w:tcBorders>
            <w:vAlign w:val="center"/>
          </w:tcPr>
          <w:p w14:paraId="6D2859B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8900</w:t>
            </w:r>
          </w:p>
        </w:tc>
        <w:tc>
          <w:tcPr>
            <w:tcW w:w="824" w:type="dxa"/>
            <w:tcBorders>
              <w:top w:val="nil"/>
              <w:left w:val="nil"/>
              <w:bottom w:val="single" w:color="auto" w:sz="4" w:space="0"/>
              <w:right w:val="single" w:color="auto" w:sz="4" w:space="0"/>
            </w:tcBorders>
            <w:vAlign w:val="center"/>
          </w:tcPr>
          <w:p w14:paraId="0082D46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10150</w:t>
            </w:r>
          </w:p>
        </w:tc>
        <w:tc>
          <w:tcPr>
            <w:tcW w:w="898" w:type="dxa"/>
            <w:tcBorders>
              <w:top w:val="nil"/>
              <w:left w:val="nil"/>
              <w:bottom w:val="single" w:color="auto" w:sz="4" w:space="0"/>
              <w:right w:val="single" w:color="auto" w:sz="4" w:space="0"/>
            </w:tcBorders>
            <w:vAlign w:val="center"/>
          </w:tcPr>
          <w:p w14:paraId="74D589B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11800</w:t>
            </w:r>
          </w:p>
        </w:tc>
        <w:tc>
          <w:tcPr>
            <w:tcW w:w="820" w:type="dxa"/>
            <w:tcBorders>
              <w:top w:val="nil"/>
              <w:left w:val="nil"/>
              <w:bottom w:val="single" w:color="auto" w:sz="4" w:space="0"/>
              <w:right w:val="single" w:color="auto" w:sz="4" w:space="0"/>
            </w:tcBorders>
            <w:vAlign w:val="center"/>
          </w:tcPr>
          <w:p w14:paraId="3503B0E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13450</w:t>
            </w:r>
          </w:p>
        </w:tc>
        <w:tc>
          <w:tcPr>
            <w:tcW w:w="889" w:type="dxa"/>
            <w:tcBorders>
              <w:top w:val="nil"/>
              <w:left w:val="nil"/>
              <w:bottom w:val="single" w:color="auto" w:sz="4" w:space="0"/>
              <w:right w:val="single" w:color="auto" w:sz="4" w:space="0"/>
            </w:tcBorders>
            <w:vAlign w:val="center"/>
          </w:tcPr>
          <w:p w14:paraId="63359CF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15300</w:t>
            </w:r>
          </w:p>
        </w:tc>
        <w:tc>
          <w:tcPr>
            <w:tcW w:w="879" w:type="dxa"/>
            <w:tcBorders>
              <w:top w:val="nil"/>
              <w:left w:val="nil"/>
              <w:bottom w:val="single" w:color="auto" w:sz="4" w:space="0"/>
              <w:right w:val="single" w:color="auto" w:sz="4" w:space="0"/>
            </w:tcBorders>
            <w:vAlign w:val="center"/>
          </w:tcPr>
          <w:p w14:paraId="0B21383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1"/>
                <w:szCs w:val="21"/>
              </w:rPr>
            </w:pPr>
            <w:r>
              <w:rPr>
                <w:rFonts w:hint="eastAsia" w:ascii="仿宋" w:hAnsi="仿宋" w:eastAsia="仿宋" w:cs="仿宋"/>
                <w:sz w:val="21"/>
                <w:szCs w:val="21"/>
              </w:rPr>
              <w:t>17100</w:t>
            </w:r>
          </w:p>
        </w:tc>
      </w:tr>
    </w:tbl>
    <w:p w14:paraId="4EA54303">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华文仿宋" w:hAnsi="华文仿宋" w:eastAsia="华文仿宋" w:cs="华文仿宋"/>
          <w:color w:val="000000"/>
          <w:kern w:val="0"/>
          <w:sz w:val="28"/>
          <w:szCs w:val="28"/>
          <w:lang w:val="en-US" w:eastAsia="zh-CN" w:bidi="ar"/>
        </w:rPr>
      </w:pPr>
      <w:r>
        <w:rPr>
          <w:rFonts w:hint="eastAsia" w:ascii="楷体_GB2312" w:hAnsi="Times New Roman" w:eastAsia="楷体_GB2312" w:cs="Times New Roman"/>
          <w:color w:val="000000"/>
          <w:sz w:val="32"/>
          <w:szCs w:val="32"/>
          <w:lang w:val="en-US" w:eastAsia="zh-CN"/>
        </w:rPr>
        <w:t>第十五条</w:t>
      </w:r>
      <w:r>
        <w:rPr>
          <w:rFonts w:ascii="仿宋" w:hAnsi="仿宋" w:eastAsia="仿宋" w:cs="仿宋"/>
          <w:b/>
          <w:bCs/>
          <w:color w:val="000000"/>
          <w:kern w:val="0"/>
          <w:sz w:val="31"/>
          <w:szCs w:val="31"/>
          <w:lang w:val="en-US" w:eastAsia="zh-CN" w:bidi="ar"/>
        </w:rPr>
        <w:t xml:space="preserve"> </w:t>
      </w:r>
      <w:r>
        <w:rPr>
          <w:rFonts w:hint="eastAsia" w:ascii="仿宋_GB2312" w:hAnsi="Times New Roman" w:eastAsia="仿宋_GB2312" w:cs="Times New Roman"/>
          <w:sz w:val="32"/>
          <w:szCs w:val="32"/>
          <w:lang w:val="en-US" w:eastAsia="zh-CN"/>
        </w:rPr>
        <w:t>浮动薪酬：根据对基金会的价值贡献及员工的工作表现发放浮动报</w:t>
      </w:r>
      <w:r>
        <w:rPr>
          <w:rFonts w:hint="default" w:ascii="仿宋_GB2312" w:hAnsi="Times New Roman" w:eastAsia="仿宋_GB2312" w:cs="Times New Roman"/>
          <w:sz w:val="32"/>
          <w:szCs w:val="32"/>
          <w:lang w:val="en-US" w:eastAsia="zh-CN"/>
        </w:rPr>
        <w:t>酬，浮动薪酬</w:t>
      </w:r>
      <w:r>
        <w:rPr>
          <w:rFonts w:hint="eastAsia" w:ascii="仿宋_GB2312" w:hAnsi="Times New Roman" w:eastAsia="仿宋_GB2312" w:cs="Times New Roman"/>
          <w:sz w:val="32"/>
          <w:szCs w:val="32"/>
          <w:lang w:val="en-US" w:eastAsia="zh-CN"/>
        </w:rPr>
        <w:t>参考《宁波鄞州银行公益基金会员工</w:t>
      </w:r>
      <w:r>
        <w:rPr>
          <w:rFonts w:hint="eastAsia" w:ascii="仿宋_GB2312" w:eastAsia="仿宋_GB2312" w:cs="Times New Roman"/>
          <w:sz w:val="32"/>
          <w:szCs w:val="32"/>
          <w:lang w:val="en-US" w:eastAsia="zh-CN"/>
        </w:rPr>
        <w:t>年度</w:t>
      </w:r>
      <w:r>
        <w:rPr>
          <w:rFonts w:hint="eastAsia" w:ascii="仿宋_GB2312" w:hAnsi="Times New Roman" w:eastAsia="仿宋_GB2312" w:cs="Times New Roman"/>
          <w:sz w:val="32"/>
          <w:szCs w:val="32"/>
          <w:lang w:val="en-US" w:eastAsia="zh-CN"/>
        </w:rPr>
        <w:t>考核办法》</w:t>
      </w:r>
      <w:r>
        <w:rPr>
          <w:rFonts w:hint="default" w:ascii="仿宋_GB2312" w:hAnsi="Times New Roman" w:eastAsia="仿宋_GB2312" w:cs="Times New Roman"/>
          <w:sz w:val="32"/>
          <w:szCs w:val="32"/>
          <w:lang w:val="en-US" w:eastAsia="zh-CN"/>
        </w:rPr>
        <w:t>。</w:t>
      </w:r>
    </w:p>
    <w:p w14:paraId="30A2A321">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第十六条</w:t>
      </w:r>
      <w:r>
        <w:rPr>
          <w:rFonts w:ascii="仿宋" w:hAnsi="仿宋" w:eastAsia="仿宋" w:cs="仿宋"/>
          <w:b/>
          <w:bCs/>
          <w:color w:val="000000"/>
          <w:kern w:val="0"/>
          <w:sz w:val="31"/>
          <w:szCs w:val="31"/>
          <w:lang w:val="en-US" w:eastAsia="zh-CN" w:bidi="ar"/>
        </w:rPr>
        <w:t xml:space="preserve"> </w:t>
      </w:r>
      <w:r>
        <w:rPr>
          <w:rFonts w:hint="eastAsia" w:ascii="仿宋_GB2312" w:hAnsi="Times New Roman" w:eastAsia="仿宋_GB2312" w:cs="Times New Roman"/>
          <w:sz w:val="32"/>
          <w:szCs w:val="32"/>
          <w:lang w:val="en-US" w:eastAsia="zh-CN"/>
        </w:rPr>
        <w:t>福利：基金会的福利体系包含法定的休假、五险一金，以及基金会通用福利如通讯补贴、午餐补贴和法定节假日补贴等。</w:t>
      </w:r>
    </w:p>
    <w:p w14:paraId="04E7838E">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(一)基本社会保险与住房公积金。基金会按照当地政策规定为员工缴纳基本养老保险、医疗保险（合并生育保险）、失业保险、工伤保险和住房公积金，由基金会统一代扣代缴。</w:t>
      </w:r>
    </w:p>
    <w:p w14:paraId="722DDE8E">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二）年度体检。基金会每年组织员工进行一次健康体检，体检费用由基金会全额承担。体检范围为上年度入职并且截止体检实施日在职的所有正式员工，体检费用由基金会全额承担，入职不满六个月的员工不享受体检福利。</w:t>
      </w:r>
    </w:p>
    <w:p w14:paraId="1C1144C8">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（三）午餐补贴。基金会为员工提供午餐补贴或直接提供午餐，午餐补贴根据每月的出勤天数按</w:t>
      </w:r>
      <w:r>
        <w:rPr>
          <w:rFonts w:hint="eastAsia" w:ascii="仿宋_GB2312" w:eastAsia="仿宋_GB2312" w:cs="Times New Roman"/>
          <w:sz w:val="32"/>
          <w:szCs w:val="32"/>
          <w:lang w:val="en-US" w:eastAsia="zh-CN"/>
        </w:rPr>
        <w:t>20</w:t>
      </w:r>
      <w:r>
        <w:rPr>
          <w:rFonts w:hint="eastAsia" w:ascii="仿宋_GB2312" w:hAnsi="Times New Roman" w:eastAsia="仿宋_GB2312" w:cs="Times New Roman"/>
          <w:sz w:val="32"/>
          <w:szCs w:val="32"/>
          <w:lang w:val="en-US" w:eastAsia="zh-CN"/>
        </w:rPr>
        <w:t>元/天的标准在当月薪酬中补贴。</w:t>
      </w:r>
    </w:p>
    <w:p w14:paraId="1EAF5238">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（四）高温补助基金会根据国家高温费政策规定，在每年夏季为员工发放防暑降温费，具体金额及补贴时间参照当地政策规定，工作地标准不同的，统一并就高标准执行。</w:t>
      </w:r>
    </w:p>
    <w:p w14:paraId="4AA98356">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（五）通讯补贴：8级及以上员工200元/月，8级以下员工150元/月。</w:t>
      </w:r>
    </w:p>
    <w:p w14:paraId="6E463EBE">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（六）法定节假日补贴：</w:t>
      </w:r>
    </w:p>
    <w:tbl>
      <w:tblPr>
        <w:tblStyle w:val="6"/>
        <w:tblW w:w="8298" w:type="dxa"/>
        <w:jc w:val="center"/>
        <w:tblLayout w:type="fixed"/>
        <w:tblCellMar>
          <w:top w:w="0" w:type="dxa"/>
          <w:left w:w="108" w:type="dxa"/>
          <w:bottom w:w="0" w:type="dxa"/>
          <w:right w:w="108" w:type="dxa"/>
        </w:tblCellMar>
      </w:tblPr>
      <w:tblGrid>
        <w:gridCol w:w="1544"/>
        <w:gridCol w:w="1125"/>
        <w:gridCol w:w="1125"/>
        <w:gridCol w:w="1125"/>
        <w:gridCol w:w="1125"/>
        <w:gridCol w:w="1125"/>
        <w:gridCol w:w="1129"/>
      </w:tblGrid>
      <w:tr w14:paraId="6D31CAA8">
        <w:tblPrEx>
          <w:tblCellMar>
            <w:top w:w="0" w:type="dxa"/>
            <w:left w:w="108" w:type="dxa"/>
            <w:bottom w:w="0" w:type="dxa"/>
            <w:right w:w="108" w:type="dxa"/>
          </w:tblCellMar>
        </w:tblPrEx>
        <w:trPr>
          <w:trHeight w:val="760" w:hRule="atLeast"/>
          <w:jc w:val="center"/>
        </w:trPr>
        <w:tc>
          <w:tcPr>
            <w:tcW w:w="1544" w:type="dxa"/>
            <w:tcBorders>
              <w:top w:val="single" w:color="000000" w:sz="8" w:space="0"/>
              <w:left w:val="single" w:color="000000" w:sz="8" w:space="0"/>
              <w:bottom w:val="single" w:color="000000" w:sz="8" w:space="0"/>
              <w:right w:val="single" w:color="000000" w:sz="8" w:space="0"/>
            </w:tcBorders>
            <w:vAlign w:val="center"/>
          </w:tcPr>
          <w:p w14:paraId="79423787">
            <w:pPr>
              <w:keepNext w:val="0"/>
              <w:keepLines w:val="0"/>
              <w:pageBreakBefore w:val="0"/>
              <w:widowControl w:val="0"/>
              <w:kinsoku/>
              <w:wordWrap/>
              <w:overflowPunct/>
              <w:topLinePunct w:val="0"/>
              <w:autoSpaceDE/>
              <w:autoSpaceDN/>
              <w:bidi w:val="0"/>
              <w:adjustRightInd/>
              <w:snapToGrid/>
              <w:spacing w:line="3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项目</w:t>
            </w:r>
          </w:p>
        </w:tc>
        <w:tc>
          <w:tcPr>
            <w:tcW w:w="1125" w:type="dxa"/>
            <w:tcBorders>
              <w:top w:val="single" w:color="000000" w:sz="8" w:space="0"/>
              <w:left w:val="nil"/>
              <w:bottom w:val="single" w:color="000000" w:sz="8" w:space="0"/>
              <w:right w:val="single" w:color="000000" w:sz="8" w:space="0"/>
            </w:tcBorders>
            <w:vAlign w:val="center"/>
          </w:tcPr>
          <w:p w14:paraId="1E438DF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eastAsia="仿宋" w:cs="仿宋"/>
                <w:sz w:val="28"/>
                <w:szCs w:val="28"/>
              </w:rPr>
            </w:pPr>
            <w:r>
              <w:rPr>
                <w:rFonts w:hint="eastAsia" w:ascii="仿宋" w:hAnsi="仿宋" w:eastAsia="仿宋" w:cs="仿宋"/>
                <w:sz w:val="28"/>
                <w:szCs w:val="28"/>
              </w:rPr>
              <w:t>元旦</w:t>
            </w:r>
          </w:p>
        </w:tc>
        <w:tc>
          <w:tcPr>
            <w:tcW w:w="1125" w:type="dxa"/>
            <w:tcBorders>
              <w:top w:val="single" w:color="000000" w:sz="8" w:space="0"/>
              <w:left w:val="nil"/>
              <w:bottom w:val="single" w:color="000000" w:sz="8" w:space="0"/>
              <w:right w:val="single" w:color="000000" w:sz="8" w:space="0"/>
            </w:tcBorders>
            <w:vAlign w:val="center"/>
          </w:tcPr>
          <w:p w14:paraId="5AA8064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eastAsia="仿宋" w:cs="仿宋"/>
                <w:sz w:val="28"/>
                <w:szCs w:val="28"/>
              </w:rPr>
            </w:pPr>
            <w:r>
              <w:rPr>
                <w:rFonts w:hint="eastAsia" w:ascii="仿宋" w:hAnsi="仿宋" w:eastAsia="仿宋" w:cs="仿宋"/>
                <w:sz w:val="28"/>
                <w:szCs w:val="28"/>
              </w:rPr>
              <w:t>春节</w:t>
            </w:r>
          </w:p>
        </w:tc>
        <w:tc>
          <w:tcPr>
            <w:tcW w:w="1125" w:type="dxa"/>
            <w:tcBorders>
              <w:top w:val="single" w:color="000000" w:sz="8" w:space="0"/>
              <w:left w:val="nil"/>
              <w:bottom w:val="single" w:color="000000" w:sz="8" w:space="0"/>
              <w:right w:val="single" w:color="000000" w:sz="8" w:space="0"/>
            </w:tcBorders>
            <w:vAlign w:val="center"/>
          </w:tcPr>
          <w:p w14:paraId="6E79044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eastAsia="仿宋" w:cs="仿宋"/>
                <w:sz w:val="28"/>
                <w:szCs w:val="28"/>
              </w:rPr>
            </w:pPr>
            <w:r>
              <w:rPr>
                <w:rFonts w:hint="eastAsia" w:ascii="仿宋" w:hAnsi="仿宋" w:eastAsia="仿宋" w:cs="仿宋"/>
                <w:sz w:val="28"/>
                <w:szCs w:val="28"/>
              </w:rPr>
              <w:t>五一</w:t>
            </w:r>
          </w:p>
        </w:tc>
        <w:tc>
          <w:tcPr>
            <w:tcW w:w="1125" w:type="dxa"/>
            <w:tcBorders>
              <w:top w:val="single" w:color="000000" w:sz="8" w:space="0"/>
              <w:left w:val="nil"/>
              <w:bottom w:val="single" w:color="000000" w:sz="8" w:space="0"/>
              <w:right w:val="single" w:color="000000" w:sz="8" w:space="0"/>
            </w:tcBorders>
            <w:vAlign w:val="center"/>
          </w:tcPr>
          <w:p w14:paraId="665BAC5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eastAsia="仿宋" w:cs="仿宋"/>
                <w:sz w:val="28"/>
                <w:szCs w:val="28"/>
              </w:rPr>
            </w:pPr>
            <w:r>
              <w:rPr>
                <w:rFonts w:hint="eastAsia" w:ascii="仿宋" w:hAnsi="仿宋" w:eastAsia="仿宋" w:cs="仿宋"/>
                <w:sz w:val="28"/>
                <w:szCs w:val="28"/>
              </w:rPr>
              <w:t>端午</w:t>
            </w:r>
          </w:p>
        </w:tc>
        <w:tc>
          <w:tcPr>
            <w:tcW w:w="1125" w:type="dxa"/>
            <w:tcBorders>
              <w:top w:val="single" w:color="000000" w:sz="8" w:space="0"/>
              <w:left w:val="nil"/>
              <w:bottom w:val="single" w:color="000000" w:sz="8" w:space="0"/>
              <w:right w:val="single" w:color="000000" w:sz="8" w:space="0"/>
            </w:tcBorders>
            <w:vAlign w:val="center"/>
          </w:tcPr>
          <w:p w14:paraId="0B9EA54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eastAsia="仿宋" w:cs="仿宋"/>
                <w:sz w:val="28"/>
                <w:szCs w:val="28"/>
              </w:rPr>
            </w:pPr>
            <w:r>
              <w:rPr>
                <w:rFonts w:hint="eastAsia" w:ascii="仿宋" w:hAnsi="仿宋" w:eastAsia="仿宋" w:cs="仿宋"/>
                <w:sz w:val="28"/>
                <w:szCs w:val="28"/>
              </w:rPr>
              <w:t>国庆</w:t>
            </w:r>
          </w:p>
        </w:tc>
        <w:tc>
          <w:tcPr>
            <w:tcW w:w="1129" w:type="dxa"/>
            <w:tcBorders>
              <w:top w:val="single" w:color="000000" w:sz="8" w:space="0"/>
              <w:left w:val="nil"/>
              <w:bottom w:val="single" w:color="000000" w:sz="8" w:space="0"/>
              <w:right w:val="single" w:color="000000" w:sz="8" w:space="0"/>
            </w:tcBorders>
            <w:vAlign w:val="center"/>
          </w:tcPr>
          <w:p w14:paraId="18D4A99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eastAsia="仿宋" w:cs="仿宋"/>
                <w:sz w:val="28"/>
                <w:szCs w:val="28"/>
              </w:rPr>
            </w:pPr>
            <w:r>
              <w:rPr>
                <w:rFonts w:hint="eastAsia" w:ascii="仿宋" w:hAnsi="仿宋" w:eastAsia="仿宋" w:cs="仿宋"/>
                <w:sz w:val="28"/>
                <w:szCs w:val="28"/>
              </w:rPr>
              <w:t>中秋</w:t>
            </w:r>
          </w:p>
        </w:tc>
      </w:tr>
      <w:tr w14:paraId="15906F65">
        <w:tblPrEx>
          <w:tblCellMar>
            <w:top w:w="0" w:type="dxa"/>
            <w:left w:w="108" w:type="dxa"/>
            <w:bottom w:w="0" w:type="dxa"/>
            <w:right w:w="108" w:type="dxa"/>
          </w:tblCellMar>
        </w:tblPrEx>
        <w:trPr>
          <w:trHeight w:val="851" w:hRule="atLeast"/>
          <w:jc w:val="center"/>
        </w:trPr>
        <w:tc>
          <w:tcPr>
            <w:tcW w:w="1544" w:type="dxa"/>
            <w:tcBorders>
              <w:top w:val="nil"/>
              <w:left w:val="single" w:color="000000" w:sz="8" w:space="0"/>
              <w:bottom w:val="single" w:color="000000" w:sz="8" w:space="0"/>
              <w:right w:val="single" w:color="000000" w:sz="8" w:space="0"/>
            </w:tcBorders>
            <w:vAlign w:val="center"/>
          </w:tcPr>
          <w:p w14:paraId="696762F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eastAsia="仿宋" w:cs="仿宋"/>
                <w:sz w:val="28"/>
                <w:szCs w:val="28"/>
              </w:rPr>
            </w:pPr>
            <w:r>
              <w:rPr>
                <w:rFonts w:hint="eastAsia" w:ascii="仿宋" w:hAnsi="仿宋" w:eastAsia="仿宋" w:cs="仿宋"/>
                <w:sz w:val="28"/>
                <w:szCs w:val="28"/>
              </w:rPr>
              <w:t>金额（元）</w:t>
            </w:r>
          </w:p>
        </w:tc>
        <w:tc>
          <w:tcPr>
            <w:tcW w:w="1125" w:type="dxa"/>
            <w:tcBorders>
              <w:top w:val="nil"/>
              <w:left w:val="nil"/>
              <w:bottom w:val="single" w:color="000000" w:sz="8" w:space="0"/>
              <w:right w:val="single" w:color="000000" w:sz="8" w:space="0"/>
            </w:tcBorders>
            <w:vAlign w:val="center"/>
          </w:tcPr>
          <w:p w14:paraId="0CCAB08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eastAsia="仿宋" w:cs="仿宋"/>
                <w:sz w:val="28"/>
                <w:szCs w:val="28"/>
              </w:rPr>
            </w:pPr>
            <w:r>
              <w:rPr>
                <w:rFonts w:hint="eastAsia" w:ascii="仿宋" w:hAnsi="仿宋" w:eastAsia="仿宋" w:cs="仿宋"/>
                <w:sz w:val="28"/>
                <w:szCs w:val="28"/>
              </w:rPr>
              <w:t>1000</w:t>
            </w:r>
          </w:p>
        </w:tc>
        <w:tc>
          <w:tcPr>
            <w:tcW w:w="1125" w:type="dxa"/>
            <w:tcBorders>
              <w:top w:val="nil"/>
              <w:left w:val="nil"/>
              <w:bottom w:val="single" w:color="000000" w:sz="8" w:space="0"/>
              <w:right w:val="single" w:color="000000" w:sz="8" w:space="0"/>
            </w:tcBorders>
            <w:vAlign w:val="center"/>
          </w:tcPr>
          <w:p w14:paraId="3BD61BC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eastAsia="仿宋" w:cs="仿宋"/>
                <w:sz w:val="28"/>
                <w:szCs w:val="28"/>
              </w:rPr>
            </w:pPr>
            <w:r>
              <w:rPr>
                <w:rFonts w:hint="eastAsia" w:ascii="仿宋" w:hAnsi="仿宋" w:eastAsia="仿宋" w:cs="仿宋"/>
                <w:sz w:val="28"/>
                <w:szCs w:val="28"/>
              </w:rPr>
              <w:t>2000</w:t>
            </w:r>
          </w:p>
        </w:tc>
        <w:tc>
          <w:tcPr>
            <w:tcW w:w="1125" w:type="dxa"/>
            <w:tcBorders>
              <w:top w:val="nil"/>
              <w:left w:val="nil"/>
              <w:bottom w:val="single" w:color="000000" w:sz="8" w:space="0"/>
              <w:right w:val="single" w:color="000000" w:sz="8" w:space="0"/>
            </w:tcBorders>
            <w:vAlign w:val="center"/>
          </w:tcPr>
          <w:p w14:paraId="2AB7CB6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eastAsia="仿宋" w:cs="仿宋"/>
                <w:sz w:val="28"/>
                <w:szCs w:val="28"/>
              </w:rPr>
            </w:pPr>
            <w:r>
              <w:rPr>
                <w:rFonts w:hint="eastAsia" w:ascii="仿宋" w:hAnsi="仿宋" w:eastAsia="仿宋" w:cs="仿宋"/>
                <w:sz w:val="28"/>
                <w:szCs w:val="28"/>
              </w:rPr>
              <w:t>1000</w:t>
            </w:r>
          </w:p>
        </w:tc>
        <w:tc>
          <w:tcPr>
            <w:tcW w:w="1125" w:type="dxa"/>
            <w:tcBorders>
              <w:top w:val="nil"/>
              <w:left w:val="nil"/>
              <w:bottom w:val="single" w:color="000000" w:sz="8" w:space="0"/>
              <w:right w:val="single" w:color="000000" w:sz="8" w:space="0"/>
            </w:tcBorders>
            <w:vAlign w:val="center"/>
          </w:tcPr>
          <w:p w14:paraId="053972A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eastAsia="仿宋" w:cs="仿宋"/>
                <w:sz w:val="28"/>
                <w:szCs w:val="28"/>
              </w:rPr>
            </w:pPr>
            <w:r>
              <w:rPr>
                <w:rFonts w:hint="eastAsia" w:ascii="仿宋" w:hAnsi="仿宋" w:eastAsia="仿宋" w:cs="仿宋"/>
                <w:sz w:val="28"/>
                <w:szCs w:val="28"/>
              </w:rPr>
              <w:t>500</w:t>
            </w:r>
          </w:p>
        </w:tc>
        <w:tc>
          <w:tcPr>
            <w:tcW w:w="1125" w:type="dxa"/>
            <w:tcBorders>
              <w:top w:val="nil"/>
              <w:left w:val="nil"/>
              <w:bottom w:val="single" w:color="000000" w:sz="8" w:space="0"/>
              <w:right w:val="single" w:color="000000" w:sz="8" w:space="0"/>
            </w:tcBorders>
            <w:vAlign w:val="center"/>
          </w:tcPr>
          <w:p w14:paraId="446886C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eastAsia="仿宋" w:cs="仿宋"/>
                <w:sz w:val="28"/>
                <w:szCs w:val="28"/>
              </w:rPr>
            </w:pPr>
            <w:r>
              <w:rPr>
                <w:rFonts w:hint="eastAsia" w:ascii="仿宋" w:hAnsi="仿宋" w:eastAsia="仿宋" w:cs="仿宋"/>
                <w:sz w:val="28"/>
                <w:szCs w:val="28"/>
              </w:rPr>
              <w:t>1000</w:t>
            </w:r>
          </w:p>
        </w:tc>
        <w:tc>
          <w:tcPr>
            <w:tcW w:w="1129" w:type="dxa"/>
            <w:tcBorders>
              <w:top w:val="nil"/>
              <w:left w:val="nil"/>
              <w:bottom w:val="single" w:color="000000" w:sz="8" w:space="0"/>
              <w:right w:val="single" w:color="000000" w:sz="8" w:space="0"/>
            </w:tcBorders>
            <w:vAlign w:val="center"/>
          </w:tcPr>
          <w:p w14:paraId="668D1B9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仿宋" w:hAnsi="仿宋" w:eastAsia="仿宋" w:cs="仿宋"/>
                <w:sz w:val="28"/>
                <w:szCs w:val="28"/>
              </w:rPr>
            </w:pPr>
            <w:r>
              <w:rPr>
                <w:rFonts w:hint="eastAsia" w:ascii="仿宋" w:hAnsi="仿宋" w:eastAsia="仿宋" w:cs="仿宋"/>
                <w:sz w:val="28"/>
                <w:szCs w:val="28"/>
              </w:rPr>
              <w:t>500</w:t>
            </w:r>
          </w:p>
        </w:tc>
      </w:tr>
    </w:tbl>
    <w:p w14:paraId="084F9810">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另：妇女节女性员工发放380元/人节日补贴。</w:t>
      </w:r>
    </w:p>
    <w:p w14:paraId="2CA53DE6">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（七）生日福利。员工生日期间，送生日蛋糕或鲜花或蛋糕卡。</w:t>
      </w:r>
    </w:p>
    <w:p w14:paraId="4243A8BA">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（八）教育培训福利。基金会对员工因进修产生的报名费、职称评审费予以报销，报销需提供相应证书及票据，</w:t>
      </w:r>
      <w:r>
        <w:rPr>
          <w:rFonts w:hint="eastAsia" w:ascii="仿宋_GB2312" w:hAnsi="Times New Roman" w:eastAsia="仿宋_GB2312" w:cs="Times New Roman"/>
          <w:color w:val="auto"/>
          <w:kern w:val="2"/>
          <w:sz w:val="32"/>
          <w:szCs w:val="32"/>
          <w:lang w:val="en-US" w:eastAsia="zh-CN" w:bidi="ar"/>
        </w:rPr>
        <w:t>未取得相应证书的，不予报销</w:t>
      </w:r>
      <w:r>
        <w:rPr>
          <w:rFonts w:hint="eastAsia" w:ascii="仿宋_GB2312" w:hAnsi="Times New Roman" w:eastAsia="仿宋_GB2312" w:cs="Times New Roman"/>
          <w:sz w:val="32"/>
          <w:szCs w:val="32"/>
          <w:lang w:val="en-US" w:eastAsia="zh-CN"/>
        </w:rPr>
        <w:t>；因专业需求需要攻读学位的，可以从个人的“17行善”余额支出。</w:t>
      </w:r>
    </w:p>
    <w:p w14:paraId="1416D6E9">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_GB2312" w:hAnsi="Times New Roman" w:eastAsia="仿宋_GB2312" w:cs="Times New Roman"/>
          <w:sz w:val="32"/>
          <w:szCs w:val="32"/>
          <w:lang w:val="en-US" w:eastAsia="zh-CN"/>
        </w:rPr>
        <w:t>（九）其他福利。鉴于运营绩效良好基础上的合法且合理的福利，授权理事长办公会议决定设置。</w:t>
      </w:r>
    </w:p>
    <w:p w14:paraId="19033FA5">
      <w:pPr>
        <w:keepNext w:val="0"/>
        <w:keepLines w:val="0"/>
        <w:widowControl/>
        <w:suppressLineNumbers w:val="0"/>
        <w:jc w:val="center"/>
        <w:rPr>
          <w:rFonts w:ascii="黑体" w:hAnsi="宋体" w:eastAsia="黑体" w:cs="黑体"/>
          <w:b/>
          <w:bCs/>
          <w:color w:val="000000"/>
          <w:kern w:val="0"/>
          <w:sz w:val="31"/>
          <w:szCs w:val="31"/>
          <w:lang w:val="en-US" w:eastAsia="zh-CN" w:bidi="ar"/>
        </w:rPr>
      </w:pPr>
    </w:p>
    <w:p w14:paraId="1977B0CE">
      <w:pPr>
        <w:spacing w:line="560" w:lineRule="exact"/>
        <w:jc w:val="center"/>
        <w:rPr>
          <w:rFonts w:hint="eastAsia" w:ascii="黑体" w:hAnsi="黑体" w:eastAsia="黑体" w:cs="Times New Roman"/>
          <w:color w:val="000000"/>
          <w:sz w:val="32"/>
          <w:szCs w:val="32"/>
          <w:lang w:val="en-US" w:eastAsia="zh-CN"/>
        </w:rPr>
      </w:pPr>
      <w:r>
        <w:rPr>
          <w:rFonts w:hint="eastAsia" w:ascii="黑体" w:hAnsi="黑体" w:eastAsia="黑体" w:cs="Times New Roman"/>
          <w:color w:val="000000"/>
          <w:sz w:val="32"/>
          <w:szCs w:val="32"/>
          <w:lang w:val="en-US" w:eastAsia="zh-CN"/>
        </w:rPr>
        <w:t>第四章 薪酬档级</w:t>
      </w:r>
    </w:p>
    <w:p w14:paraId="67E1C77F">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 xml:space="preserve">第十七条 </w:t>
      </w:r>
      <w:r>
        <w:rPr>
          <w:rFonts w:hint="eastAsia" w:ascii="仿宋_GB2312" w:hAnsi="Times New Roman" w:eastAsia="仿宋_GB2312" w:cs="Times New Roman"/>
          <w:sz w:val="32"/>
          <w:szCs w:val="32"/>
          <w:lang w:val="en-US" w:eastAsia="zh-CN"/>
        </w:rPr>
        <w:t>基金会依据各岗位特点和员工职业发展需要，对员工发展通道实行</w:t>
      </w:r>
      <w:r>
        <w:rPr>
          <w:rFonts w:hint="default" w:ascii="仿宋_GB2312" w:hAnsi="Times New Roman" w:eastAsia="仿宋_GB2312" w:cs="Times New Roman"/>
          <w:sz w:val="32"/>
          <w:szCs w:val="32"/>
          <w:lang w:val="en-US" w:eastAsia="zh-CN"/>
        </w:rPr>
        <w:t>岗位职级管理</w:t>
      </w:r>
      <w:r>
        <w:rPr>
          <w:rFonts w:hint="eastAsia" w:ascii="仿宋_GB2312" w:hAnsi="Times New Roman" w:eastAsia="仿宋_GB2312" w:cs="Times New Roman"/>
          <w:sz w:val="32"/>
          <w:szCs w:val="32"/>
          <w:lang w:val="en-US" w:eastAsia="zh-CN"/>
        </w:rPr>
        <w:t>,</w:t>
      </w:r>
      <w:r>
        <w:rPr>
          <w:rFonts w:hint="default" w:ascii="仿宋_GB2312" w:hAnsi="Times New Roman" w:eastAsia="仿宋_GB2312" w:cs="Times New Roman"/>
          <w:sz w:val="32"/>
          <w:szCs w:val="32"/>
          <w:lang w:val="en-US" w:eastAsia="zh-CN"/>
        </w:rPr>
        <w:t>具体规定参照</w:t>
      </w:r>
      <w:r>
        <w:rPr>
          <w:rFonts w:hint="eastAsia" w:ascii="仿宋_GB2312" w:hAnsi="Times New Roman" w:eastAsia="仿宋_GB2312" w:cs="Times New Roman"/>
          <w:sz w:val="32"/>
          <w:szCs w:val="32"/>
          <w:lang w:val="en-US" w:eastAsia="zh-CN"/>
        </w:rPr>
        <w:t>职级管理</w:t>
      </w:r>
      <w:r>
        <w:rPr>
          <w:rFonts w:hint="default" w:ascii="仿宋_GB2312" w:hAnsi="Times New Roman" w:eastAsia="仿宋_GB2312" w:cs="Times New Roman"/>
          <w:sz w:val="32"/>
          <w:szCs w:val="32"/>
          <w:lang w:val="en-US" w:eastAsia="zh-CN"/>
        </w:rPr>
        <w:t>的相关规定执行。</w:t>
      </w:r>
    </w:p>
    <w:p w14:paraId="28CA3E17">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第十八条</w:t>
      </w:r>
      <w:r>
        <w:rPr>
          <w:rFonts w:ascii="仿宋" w:hAnsi="仿宋" w:eastAsia="仿宋" w:cs="仿宋"/>
          <w:b/>
          <w:bCs/>
          <w:color w:val="000000"/>
          <w:kern w:val="0"/>
          <w:sz w:val="31"/>
          <w:szCs w:val="31"/>
          <w:lang w:val="en-US" w:eastAsia="zh-CN" w:bidi="ar"/>
        </w:rPr>
        <w:t xml:space="preserve"> </w:t>
      </w:r>
      <w:r>
        <w:rPr>
          <w:rFonts w:hint="eastAsia" w:ascii="仿宋_GB2312" w:hAnsi="Times New Roman" w:eastAsia="仿宋_GB2312" w:cs="Times New Roman"/>
          <w:sz w:val="32"/>
          <w:szCs w:val="32"/>
          <w:lang w:val="en-US" w:eastAsia="zh-CN"/>
        </w:rPr>
        <w:t>基金会为体现同一薪酬级别员工的绩效表现和能力差异，在同一</w:t>
      </w:r>
      <w:r>
        <w:rPr>
          <w:rFonts w:hint="default" w:ascii="仿宋_GB2312" w:hAnsi="Times New Roman" w:eastAsia="仿宋_GB2312" w:cs="Times New Roman"/>
          <w:sz w:val="32"/>
          <w:szCs w:val="32"/>
          <w:lang w:val="en-US" w:eastAsia="zh-CN"/>
        </w:rPr>
        <w:t>薪酬级别设置</w:t>
      </w:r>
      <w:r>
        <w:rPr>
          <w:rFonts w:hint="eastAsia" w:ascii="仿宋_GB2312" w:hAnsi="Times New Roman" w:eastAsia="仿宋_GB2312" w:cs="Times New Roman"/>
          <w:sz w:val="32"/>
          <w:szCs w:val="32"/>
          <w:lang w:val="en-US" w:eastAsia="zh-CN"/>
        </w:rPr>
        <w:t>五</w:t>
      </w:r>
      <w:r>
        <w:rPr>
          <w:rFonts w:hint="default" w:ascii="仿宋_GB2312" w:hAnsi="Times New Roman" w:eastAsia="仿宋_GB2312" w:cs="Times New Roman"/>
          <w:sz w:val="32"/>
          <w:szCs w:val="32"/>
          <w:lang w:val="en-US" w:eastAsia="zh-CN"/>
        </w:rPr>
        <w:t>档薪酬带宽，具体固薪标准见《薪档表》。</w:t>
      </w:r>
    </w:p>
    <w:p w14:paraId="6C2BD39E">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 xml:space="preserve">第十九条 </w:t>
      </w:r>
      <w:r>
        <w:rPr>
          <w:rFonts w:hint="eastAsia" w:ascii="仿宋_GB2312" w:hAnsi="Times New Roman" w:eastAsia="仿宋_GB2312" w:cs="Times New Roman"/>
          <w:sz w:val="32"/>
          <w:szCs w:val="32"/>
          <w:lang w:val="en-US" w:eastAsia="zh-CN"/>
        </w:rPr>
        <w:t>每三年对现行薪酬标准进行市场检视，并根据市场薪酬水平、基金会</w:t>
      </w:r>
      <w:r>
        <w:rPr>
          <w:rFonts w:hint="default" w:ascii="仿宋_GB2312" w:hAnsi="Times New Roman" w:eastAsia="仿宋_GB2312" w:cs="Times New Roman"/>
          <w:sz w:val="32"/>
          <w:szCs w:val="32"/>
          <w:lang w:val="en-US" w:eastAsia="zh-CN"/>
        </w:rPr>
        <w:t>所在地社会平均薪酬、</w:t>
      </w:r>
      <w:r>
        <w:rPr>
          <w:rFonts w:hint="eastAsia" w:ascii="仿宋_GB2312" w:hAnsi="Times New Roman" w:eastAsia="仿宋_GB2312" w:cs="Times New Roman"/>
          <w:sz w:val="32"/>
          <w:szCs w:val="32"/>
          <w:lang w:val="en-US" w:eastAsia="zh-CN"/>
        </w:rPr>
        <w:t>基金会</w:t>
      </w:r>
      <w:r>
        <w:rPr>
          <w:rFonts w:hint="default" w:ascii="仿宋_GB2312" w:hAnsi="Times New Roman" w:eastAsia="仿宋_GB2312" w:cs="Times New Roman"/>
          <w:sz w:val="32"/>
          <w:szCs w:val="32"/>
          <w:lang w:val="en-US" w:eastAsia="zh-CN"/>
        </w:rPr>
        <w:t>财务情况，</w:t>
      </w:r>
      <w:r>
        <w:rPr>
          <w:rFonts w:hint="eastAsia" w:ascii="仿宋_GB2312" w:hAnsi="Times New Roman" w:eastAsia="仿宋_GB2312" w:cs="Times New Roman"/>
          <w:sz w:val="32"/>
          <w:szCs w:val="32"/>
          <w:lang w:val="en-US" w:eastAsia="zh-CN"/>
        </w:rPr>
        <w:t>基金会</w:t>
      </w:r>
      <w:r>
        <w:rPr>
          <w:rFonts w:hint="default" w:ascii="仿宋_GB2312" w:hAnsi="Times New Roman" w:eastAsia="仿宋_GB2312" w:cs="Times New Roman"/>
          <w:sz w:val="32"/>
          <w:szCs w:val="32"/>
          <w:lang w:val="en-US" w:eastAsia="zh-CN"/>
        </w:rPr>
        <w:t>薪酬水平定位，综合决定是否对</w:t>
      </w:r>
      <w:r>
        <w:rPr>
          <w:rFonts w:hint="eastAsia" w:ascii="仿宋_GB2312" w:hAnsi="Times New Roman" w:eastAsia="仿宋_GB2312" w:cs="Times New Roman"/>
          <w:sz w:val="32"/>
          <w:szCs w:val="32"/>
          <w:lang w:val="en-US" w:eastAsia="zh-CN"/>
        </w:rPr>
        <w:t>基金会</w:t>
      </w:r>
      <w:r>
        <w:rPr>
          <w:rFonts w:hint="default" w:ascii="仿宋_GB2312" w:hAnsi="Times New Roman" w:eastAsia="仿宋_GB2312" w:cs="Times New Roman"/>
          <w:sz w:val="32"/>
          <w:szCs w:val="32"/>
          <w:lang w:val="en-US" w:eastAsia="zh-CN"/>
        </w:rPr>
        <w:t>固定薪酬标准进行统一调整。具体调整额度须与</w:t>
      </w:r>
      <w:r>
        <w:rPr>
          <w:rFonts w:hint="eastAsia" w:ascii="仿宋_GB2312" w:hAnsi="Times New Roman" w:eastAsia="仿宋_GB2312" w:cs="Times New Roman"/>
          <w:sz w:val="32"/>
          <w:szCs w:val="32"/>
          <w:lang w:val="en-US" w:eastAsia="zh-CN"/>
        </w:rPr>
        <w:t>基金会</w:t>
      </w:r>
      <w:r>
        <w:rPr>
          <w:rFonts w:hint="default" w:ascii="仿宋_GB2312" w:hAnsi="Times New Roman" w:eastAsia="仿宋_GB2312" w:cs="Times New Roman"/>
          <w:sz w:val="32"/>
          <w:szCs w:val="32"/>
          <w:lang w:val="en-US" w:eastAsia="zh-CN"/>
        </w:rPr>
        <w:t>整体薪酬预算挂钩。</w:t>
      </w:r>
    </w:p>
    <w:p w14:paraId="6F1014DC">
      <w:pPr>
        <w:keepNext w:val="0"/>
        <w:keepLines w:val="0"/>
        <w:widowControl/>
        <w:suppressLineNumbers w:val="0"/>
        <w:jc w:val="center"/>
        <w:rPr>
          <w:rFonts w:ascii="黑体" w:hAnsi="宋体" w:eastAsia="黑体" w:cs="黑体"/>
          <w:b/>
          <w:bCs/>
          <w:color w:val="000000"/>
          <w:kern w:val="0"/>
          <w:sz w:val="31"/>
          <w:szCs w:val="31"/>
          <w:lang w:val="en-US" w:eastAsia="zh-CN" w:bidi="ar"/>
        </w:rPr>
      </w:pPr>
    </w:p>
    <w:p w14:paraId="116D0BCF">
      <w:pPr>
        <w:spacing w:line="560" w:lineRule="exact"/>
        <w:jc w:val="center"/>
        <w:rPr>
          <w:rFonts w:hint="eastAsia" w:ascii="黑体" w:hAnsi="黑体" w:eastAsia="黑体" w:cs="Times New Roman"/>
          <w:color w:val="000000"/>
          <w:sz w:val="32"/>
          <w:szCs w:val="32"/>
          <w:lang w:val="en-US" w:eastAsia="zh-CN"/>
        </w:rPr>
      </w:pPr>
      <w:r>
        <w:rPr>
          <w:rFonts w:hint="eastAsia" w:ascii="黑体" w:hAnsi="黑体" w:eastAsia="黑体" w:cs="Times New Roman"/>
          <w:color w:val="000000"/>
          <w:sz w:val="32"/>
          <w:szCs w:val="32"/>
          <w:lang w:val="en-US" w:eastAsia="zh-CN"/>
        </w:rPr>
        <w:t>第五章 定薪与调整</w:t>
      </w:r>
    </w:p>
    <w:p w14:paraId="63F62E73">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第二十条</w:t>
      </w:r>
      <w:r>
        <w:rPr>
          <w:rFonts w:ascii="仿宋" w:hAnsi="仿宋" w:eastAsia="仿宋" w:cs="仿宋"/>
          <w:b/>
          <w:bCs/>
          <w:color w:val="000000"/>
          <w:kern w:val="0"/>
          <w:sz w:val="31"/>
          <w:szCs w:val="31"/>
          <w:lang w:val="en-US" w:eastAsia="zh-CN" w:bidi="ar"/>
        </w:rPr>
        <w:t xml:space="preserve"> </w:t>
      </w:r>
      <w:r>
        <w:rPr>
          <w:rFonts w:hint="eastAsia" w:ascii="仿宋_GB2312" w:hAnsi="Times New Roman" w:eastAsia="仿宋_GB2312" w:cs="Times New Roman"/>
          <w:sz w:val="32"/>
          <w:szCs w:val="32"/>
          <w:lang w:val="en-US" w:eastAsia="zh-CN"/>
        </w:rPr>
        <w:t>新招聘录用员工按照《职级、职位表》相应职级的起薪为基</w:t>
      </w:r>
      <w:r>
        <w:rPr>
          <w:rFonts w:hint="default" w:ascii="仿宋_GB2312" w:hAnsi="Times New Roman" w:eastAsia="仿宋_GB2312" w:cs="Times New Roman"/>
          <w:sz w:val="32"/>
          <w:szCs w:val="32"/>
          <w:lang w:val="en-US" w:eastAsia="zh-CN"/>
        </w:rPr>
        <w:t>准，综合参考工作经验、学历水平、职务职级等因素选择相应的薪档，最终由秘书长审批并确定。</w:t>
      </w:r>
    </w:p>
    <w:p w14:paraId="775C7C0E">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color w:val="000000"/>
          <w:sz w:val="32"/>
          <w:szCs w:val="32"/>
          <w:lang w:val="en-US" w:eastAsia="zh-CN"/>
        </w:rPr>
        <w:t>第二十一条</w:t>
      </w:r>
      <w:r>
        <w:rPr>
          <w:rFonts w:ascii="仿宋" w:hAnsi="仿宋" w:eastAsia="仿宋" w:cs="仿宋"/>
          <w:b/>
          <w:bCs/>
          <w:color w:val="000000"/>
          <w:kern w:val="0"/>
          <w:sz w:val="31"/>
          <w:szCs w:val="31"/>
          <w:lang w:val="en-US" w:eastAsia="zh-CN" w:bidi="ar"/>
        </w:rPr>
        <w:t xml:space="preserve"> </w:t>
      </w:r>
      <w:r>
        <w:rPr>
          <w:rFonts w:hint="eastAsia" w:ascii="仿宋_GB2312" w:hAnsi="Times New Roman" w:eastAsia="仿宋_GB2312" w:cs="Times New Roman"/>
          <w:sz w:val="32"/>
          <w:szCs w:val="32"/>
          <w:lang w:val="en-US" w:eastAsia="zh-CN"/>
        </w:rPr>
        <w:t>基金会以年度为周期执行薪酬调整，原则上，普通员工工资不超过部门副主任工资，部门副主任工资不超过部门主任工资。</w:t>
      </w:r>
    </w:p>
    <w:p w14:paraId="071C0B5F">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eastAsia" w:ascii="楷体_GB2312" w:hAnsi="Times New Roman" w:eastAsia="楷体_GB2312" w:cs="Times New Roman"/>
          <w:b w:val="0"/>
          <w:bCs w:val="0"/>
          <w:color w:val="000000"/>
          <w:kern w:val="2"/>
          <w:sz w:val="32"/>
          <w:szCs w:val="32"/>
          <w:lang w:val="en-US" w:eastAsia="zh-CN" w:bidi="ar"/>
        </w:rPr>
        <w:t>第二十二条</w:t>
      </w:r>
      <w:r>
        <w:rPr>
          <w:rFonts w:hint="eastAsia" w:ascii="仿宋" w:hAnsi="仿宋" w:eastAsia="仿宋" w:cs="仿宋"/>
          <w:b/>
          <w:bCs/>
          <w:color w:val="000000"/>
          <w:kern w:val="0"/>
          <w:sz w:val="31"/>
          <w:szCs w:val="31"/>
          <w:lang w:val="en-US" w:eastAsia="zh-CN" w:bidi="ar"/>
        </w:rPr>
        <w:t xml:space="preserve"> </w:t>
      </w:r>
      <w:r>
        <w:rPr>
          <w:rFonts w:hint="default" w:ascii="仿宋_GB2312" w:hAnsi="Times New Roman" w:eastAsia="仿宋_GB2312" w:cs="Times New Roman"/>
          <w:sz w:val="32"/>
          <w:szCs w:val="32"/>
          <w:lang w:val="en-US" w:eastAsia="zh-CN"/>
        </w:rPr>
        <w:t>根据职级变动调薪。根据职级评定结果确定员工在本职级匹配的薪档。</w:t>
      </w:r>
    </w:p>
    <w:p w14:paraId="69C004D0">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default" w:ascii="仿宋_GB2312" w:hAnsi="Times New Roman" w:eastAsia="仿宋_GB2312" w:cs="Times New Roman"/>
          <w:sz w:val="32"/>
          <w:szCs w:val="32"/>
          <w:lang w:val="en-US" w:eastAsia="zh-CN"/>
        </w:rPr>
        <w:t>(一) 员工职级晋升时，执行“就近就高”原则，在考察期结束后，调整幅度不低于原薪资对应增加两档的涨薪幅度；</w:t>
      </w:r>
    </w:p>
    <w:p w14:paraId="62504F08">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default" w:ascii="仿宋_GB2312" w:hAnsi="Times New Roman" w:eastAsia="仿宋_GB2312" w:cs="Times New Roman"/>
          <w:sz w:val="32"/>
          <w:szCs w:val="32"/>
          <w:lang w:val="en-US" w:eastAsia="zh-CN"/>
        </w:rPr>
        <w:t>(二) 员工职级降低时，固定薪酬等级在考察期结束后下调至新职级的最高薪档，如套入后的薪资高于原薪资，则执行“就近就低”原则套入新薪档。</w:t>
      </w:r>
    </w:p>
    <w:p w14:paraId="3F4058A7">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default" w:ascii="仿宋_GB2312" w:hAnsi="Times New Roman" w:eastAsia="仿宋_GB2312" w:cs="Times New Roman"/>
          <w:sz w:val="32"/>
          <w:szCs w:val="32"/>
          <w:lang w:val="en-US" w:eastAsia="zh-CN"/>
        </w:rPr>
        <w:t>(三) 在职级调整考察期间执行原薪酬，在考察期通过后匹配对应职级的薪级薪档。</w:t>
      </w:r>
    </w:p>
    <w:p w14:paraId="56806F4A">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eastAsia" w:ascii="楷体_GB2312" w:hAnsi="Times New Roman" w:eastAsia="楷体_GB2312" w:cs="Times New Roman"/>
          <w:b w:val="0"/>
          <w:bCs w:val="0"/>
          <w:color w:val="000000"/>
          <w:kern w:val="2"/>
          <w:sz w:val="32"/>
          <w:szCs w:val="32"/>
          <w:lang w:val="en-US" w:eastAsia="zh-CN" w:bidi="ar"/>
        </w:rPr>
        <w:t>第二十三条</w:t>
      </w:r>
      <w:r>
        <w:rPr>
          <w:rFonts w:hint="eastAsia" w:ascii="仿宋" w:hAnsi="仿宋" w:eastAsia="仿宋" w:cs="仿宋"/>
          <w:b/>
          <w:bCs/>
          <w:color w:val="000000"/>
          <w:kern w:val="0"/>
          <w:sz w:val="31"/>
          <w:szCs w:val="31"/>
          <w:lang w:val="en-US" w:eastAsia="zh-CN" w:bidi="ar"/>
        </w:rPr>
        <w:t xml:space="preserve"> </w:t>
      </w:r>
      <w:r>
        <w:rPr>
          <w:rFonts w:hint="default" w:ascii="仿宋_GB2312" w:hAnsi="Times New Roman" w:eastAsia="仿宋_GB2312" w:cs="Times New Roman"/>
          <w:sz w:val="32"/>
          <w:szCs w:val="32"/>
          <w:lang w:val="en-US" w:eastAsia="zh-CN"/>
        </w:rPr>
        <w:t>员工兼任多个岗位时，固定薪酬的定薪规则如下：</w:t>
      </w:r>
    </w:p>
    <w:p w14:paraId="0FF4CE2D">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default" w:ascii="仿宋_GB2312" w:hAnsi="Times New Roman" w:eastAsia="仿宋_GB2312" w:cs="Times New Roman"/>
          <w:sz w:val="32"/>
          <w:szCs w:val="32"/>
          <w:lang w:val="en-US" w:eastAsia="zh-CN"/>
        </w:rPr>
        <w:t xml:space="preserve">(一) 以工作量占比较大的岗位确定其所在薪酬档级； </w:t>
      </w:r>
    </w:p>
    <w:p w14:paraId="2769F5AD">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Times New Roman" w:eastAsia="仿宋_GB2312" w:cs="Times New Roman"/>
          <w:sz w:val="32"/>
          <w:szCs w:val="32"/>
          <w:lang w:val="en-US" w:eastAsia="zh-CN"/>
        </w:rPr>
      </w:pPr>
      <w:r>
        <w:rPr>
          <w:rFonts w:hint="default" w:ascii="仿宋_GB2312" w:hAnsi="Times New Roman" w:eastAsia="仿宋_GB2312" w:cs="Times New Roman"/>
          <w:sz w:val="32"/>
          <w:szCs w:val="32"/>
          <w:lang w:val="en-US" w:eastAsia="zh-CN"/>
        </w:rPr>
        <w:t>(二) 当多个岗位工作量无差别或差异不大时，采用就高原则，即兼任的多岗位中，采用对应薪酬标准较高的档位。</w:t>
      </w:r>
    </w:p>
    <w:p w14:paraId="4E5BBB3D">
      <w:pPr>
        <w:keepNext w:val="0"/>
        <w:keepLines w:val="0"/>
        <w:widowControl/>
        <w:suppressLineNumbers w:val="0"/>
        <w:jc w:val="center"/>
        <w:rPr>
          <w:rFonts w:ascii="黑体" w:hAnsi="宋体" w:eastAsia="黑体" w:cs="黑体"/>
          <w:b/>
          <w:bCs/>
          <w:color w:val="000000"/>
          <w:kern w:val="0"/>
          <w:sz w:val="31"/>
          <w:szCs w:val="31"/>
          <w:lang w:val="en-US" w:eastAsia="zh-CN" w:bidi="ar"/>
        </w:rPr>
      </w:pPr>
    </w:p>
    <w:p w14:paraId="46748393">
      <w:pPr>
        <w:spacing w:line="560" w:lineRule="exact"/>
        <w:jc w:val="center"/>
        <w:rPr>
          <w:rFonts w:hint="eastAsia" w:ascii="黑体" w:hAnsi="黑体" w:eastAsia="黑体" w:cs="Times New Roman"/>
          <w:color w:val="000000"/>
          <w:sz w:val="32"/>
          <w:szCs w:val="32"/>
          <w:lang w:val="en-US" w:eastAsia="zh-CN"/>
        </w:rPr>
      </w:pPr>
      <w:r>
        <w:rPr>
          <w:rFonts w:hint="eastAsia" w:ascii="黑体" w:hAnsi="黑体" w:eastAsia="黑体" w:cs="Times New Roman"/>
          <w:color w:val="000000"/>
          <w:sz w:val="32"/>
          <w:szCs w:val="32"/>
          <w:lang w:val="en-US" w:eastAsia="zh-CN"/>
        </w:rPr>
        <w:t>第六章 浮动薪酬</w:t>
      </w:r>
    </w:p>
    <w:p w14:paraId="1DC5CE18">
      <w:pPr>
        <w:keepNext w:val="0"/>
        <w:keepLines w:val="0"/>
        <w:widowControl/>
        <w:suppressLineNumbers w:val="0"/>
        <w:spacing w:line="560" w:lineRule="exact"/>
        <w:ind w:firstLine="640" w:firstLineChars="200"/>
        <w:jc w:val="left"/>
        <w:rPr>
          <w:rFonts w:hint="default" w:ascii="仿宋_GB2312" w:hAnsi="Times New Roman" w:eastAsia="仿宋_GB2312" w:cs="Times New Roman"/>
          <w:sz w:val="32"/>
          <w:szCs w:val="32"/>
          <w:lang w:val="en-US" w:eastAsia="zh-CN"/>
        </w:rPr>
      </w:pPr>
      <w:r>
        <w:rPr>
          <w:rFonts w:hint="eastAsia" w:ascii="楷体_GB2312" w:hAnsi="Times New Roman" w:eastAsia="楷体_GB2312" w:cs="Times New Roman"/>
          <w:b w:val="0"/>
          <w:bCs w:val="0"/>
          <w:color w:val="000000"/>
          <w:kern w:val="2"/>
          <w:sz w:val="32"/>
          <w:szCs w:val="32"/>
          <w:lang w:val="en-US" w:eastAsia="zh-CN" w:bidi="ar"/>
        </w:rPr>
        <w:t>第二十四条</w:t>
      </w:r>
      <w:r>
        <w:rPr>
          <w:rFonts w:hint="default" w:ascii="仿宋_GB2312" w:hAnsi="Times New Roman" w:eastAsia="仿宋_GB2312" w:cs="Times New Roman"/>
          <w:sz w:val="32"/>
          <w:szCs w:val="32"/>
          <w:lang w:val="en-US" w:eastAsia="zh-CN"/>
        </w:rPr>
        <w:t xml:space="preserve"> </w:t>
      </w:r>
      <w:r>
        <w:rPr>
          <w:rFonts w:hint="eastAsia" w:ascii="仿宋_GB2312" w:hAnsi="Times New Roman" w:eastAsia="仿宋_GB2312" w:cs="Times New Roman"/>
          <w:sz w:val="32"/>
          <w:szCs w:val="32"/>
          <w:lang w:val="en-US" w:eastAsia="zh-CN"/>
        </w:rPr>
        <w:t>年度考核</w:t>
      </w:r>
      <w:r>
        <w:rPr>
          <w:rFonts w:hint="default" w:ascii="仿宋_GB2312" w:hAnsi="Times New Roman" w:eastAsia="仿宋_GB2312" w:cs="Times New Roman"/>
          <w:sz w:val="32"/>
          <w:szCs w:val="32"/>
          <w:lang w:val="en-US" w:eastAsia="zh-CN"/>
        </w:rPr>
        <w:t>工资的计算周期为一年。对工作未满一年的在职员工，</w:t>
      </w:r>
      <w:r>
        <w:rPr>
          <w:rFonts w:hint="eastAsia" w:ascii="仿宋_GB2312" w:hAnsi="Times New Roman" w:eastAsia="仿宋_GB2312" w:cs="Times New Roman"/>
          <w:sz w:val="32"/>
          <w:szCs w:val="32"/>
          <w:lang w:val="en-US" w:eastAsia="zh-CN"/>
        </w:rPr>
        <w:t>考核</w:t>
      </w:r>
      <w:r>
        <w:rPr>
          <w:rFonts w:hint="default" w:ascii="仿宋_GB2312" w:hAnsi="Times New Roman" w:eastAsia="仿宋_GB2312" w:cs="Times New Roman"/>
          <w:sz w:val="32"/>
          <w:szCs w:val="32"/>
          <w:lang w:val="en-US" w:eastAsia="zh-CN"/>
        </w:rPr>
        <w:t>工资按实际工作月进行折算，试用期员工不发放</w:t>
      </w:r>
      <w:r>
        <w:rPr>
          <w:rFonts w:hint="eastAsia" w:ascii="仿宋_GB2312" w:hAnsi="Times New Roman" w:eastAsia="仿宋_GB2312" w:cs="Times New Roman"/>
          <w:sz w:val="32"/>
          <w:szCs w:val="32"/>
          <w:lang w:val="en-US" w:eastAsia="zh-CN"/>
        </w:rPr>
        <w:t>考核</w:t>
      </w:r>
      <w:r>
        <w:rPr>
          <w:rFonts w:hint="default" w:ascii="仿宋_GB2312" w:hAnsi="Times New Roman" w:eastAsia="仿宋_GB2312" w:cs="Times New Roman"/>
          <w:sz w:val="32"/>
          <w:szCs w:val="32"/>
          <w:lang w:val="en-US" w:eastAsia="zh-CN"/>
        </w:rPr>
        <w:t>工资，当年 12 月 31 日前离职的员工不发放</w:t>
      </w:r>
      <w:r>
        <w:rPr>
          <w:rFonts w:hint="eastAsia" w:ascii="仿宋_GB2312" w:hAnsi="Times New Roman" w:eastAsia="仿宋_GB2312" w:cs="Times New Roman"/>
          <w:sz w:val="32"/>
          <w:szCs w:val="32"/>
          <w:lang w:val="en-US" w:eastAsia="zh-CN"/>
        </w:rPr>
        <w:t>考核</w:t>
      </w:r>
      <w:r>
        <w:rPr>
          <w:rFonts w:hint="default" w:ascii="仿宋_GB2312" w:hAnsi="Times New Roman" w:eastAsia="仿宋_GB2312" w:cs="Times New Roman"/>
          <w:sz w:val="32"/>
          <w:szCs w:val="32"/>
          <w:lang w:val="en-US" w:eastAsia="zh-CN"/>
        </w:rPr>
        <w:t>工资。</w:t>
      </w:r>
    </w:p>
    <w:p w14:paraId="24B37A14">
      <w:pPr>
        <w:keepNext w:val="0"/>
        <w:keepLines w:val="0"/>
        <w:widowControl/>
        <w:suppressLineNumbers w:val="0"/>
        <w:jc w:val="center"/>
        <w:rPr>
          <w:rFonts w:ascii="黑体" w:hAnsi="宋体" w:eastAsia="黑体" w:cs="黑体"/>
          <w:b/>
          <w:bCs/>
          <w:color w:val="000000"/>
          <w:kern w:val="0"/>
          <w:sz w:val="31"/>
          <w:szCs w:val="31"/>
          <w:lang w:val="en-US" w:eastAsia="zh-CN" w:bidi="ar"/>
        </w:rPr>
      </w:pPr>
    </w:p>
    <w:p w14:paraId="5D30EAA4">
      <w:pPr>
        <w:spacing w:line="560" w:lineRule="exact"/>
        <w:jc w:val="center"/>
        <w:rPr>
          <w:rFonts w:hint="eastAsia" w:ascii="黑体" w:hAnsi="黑体" w:eastAsia="黑体" w:cs="Times New Roman"/>
          <w:color w:val="000000"/>
          <w:sz w:val="32"/>
          <w:szCs w:val="32"/>
          <w:lang w:val="en-US" w:eastAsia="zh-CN"/>
        </w:rPr>
      </w:pPr>
      <w:r>
        <w:rPr>
          <w:rFonts w:hint="eastAsia" w:ascii="黑体" w:hAnsi="黑体" w:eastAsia="黑体" w:cs="Times New Roman"/>
          <w:color w:val="000000"/>
          <w:sz w:val="32"/>
          <w:szCs w:val="32"/>
          <w:lang w:val="en-US" w:eastAsia="zh-CN"/>
        </w:rPr>
        <w:t>第七章 薪酬发放</w:t>
      </w:r>
    </w:p>
    <w:p w14:paraId="31FB0AA4">
      <w:pPr>
        <w:keepNext w:val="0"/>
        <w:keepLines w:val="0"/>
        <w:widowControl/>
        <w:suppressLineNumbers w:val="0"/>
        <w:spacing w:line="560" w:lineRule="exact"/>
        <w:ind w:firstLine="640" w:firstLineChars="200"/>
        <w:jc w:val="left"/>
        <w:rPr>
          <w:rFonts w:hint="default" w:ascii="仿宋_GB2312" w:hAnsi="Times New Roman" w:eastAsia="仿宋_GB2312" w:cs="Times New Roman"/>
          <w:sz w:val="32"/>
          <w:szCs w:val="32"/>
          <w:lang w:val="en-US" w:eastAsia="zh-CN"/>
        </w:rPr>
      </w:pPr>
      <w:r>
        <w:rPr>
          <w:rFonts w:hint="eastAsia" w:ascii="楷体_GB2312" w:hAnsi="Times New Roman" w:eastAsia="楷体_GB2312" w:cs="Times New Roman"/>
          <w:b w:val="0"/>
          <w:bCs w:val="0"/>
          <w:color w:val="000000"/>
          <w:kern w:val="2"/>
          <w:sz w:val="32"/>
          <w:szCs w:val="32"/>
          <w:lang w:val="en-US" w:eastAsia="zh-CN" w:bidi="ar"/>
        </w:rPr>
        <w:t>第二十五条</w:t>
      </w:r>
      <w:r>
        <w:rPr>
          <w:rFonts w:ascii="仿宋" w:hAnsi="仿宋" w:eastAsia="仿宋" w:cs="仿宋"/>
          <w:b/>
          <w:bCs/>
          <w:color w:val="000000"/>
          <w:kern w:val="0"/>
          <w:sz w:val="31"/>
          <w:szCs w:val="31"/>
          <w:lang w:val="en-US" w:eastAsia="zh-CN" w:bidi="ar"/>
        </w:rPr>
        <w:t xml:space="preserve"> </w:t>
      </w:r>
      <w:r>
        <w:rPr>
          <w:rFonts w:hint="eastAsia" w:ascii="仿宋_GB2312" w:hAnsi="Times New Roman" w:eastAsia="仿宋_GB2312" w:cs="Times New Roman"/>
          <w:sz w:val="32"/>
          <w:szCs w:val="32"/>
          <w:lang w:val="en-US" w:eastAsia="zh-CN"/>
        </w:rPr>
        <w:t>固定薪酬的发放以自然月为单位，浮动薪酬的发放</w:t>
      </w:r>
      <w:r>
        <w:rPr>
          <w:rFonts w:hint="default" w:ascii="仿宋_GB2312" w:hAnsi="Times New Roman" w:eastAsia="仿宋_GB2312" w:cs="Times New Roman"/>
          <w:sz w:val="32"/>
          <w:szCs w:val="32"/>
          <w:lang w:val="en-US" w:eastAsia="zh-CN"/>
        </w:rPr>
        <w:t>以自然年为单位，以银行转账的方式支付薪酬。</w:t>
      </w:r>
    </w:p>
    <w:p w14:paraId="0995FBBF">
      <w:pPr>
        <w:keepNext w:val="0"/>
        <w:keepLines w:val="0"/>
        <w:widowControl/>
        <w:suppressLineNumbers w:val="0"/>
        <w:spacing w:line="560" w:lineRule="exact"/>
        <w:ind w:firstLine="640" w:firstLineChars="200"/>
        <w:jc w:val="left"/>
        <w:rPr>
          <w:rFonts w:hint="default" w:ascii="仿宋_GB2312" w:hAnsi="Times New Roman" w:eastAsia="仿宋_GB2312" w:cs="Times New Roman"/>
          <w:sz w:val="32"/>
          <w:szCs w:val="32"/>
          <w:lang w:val="en-US" w:eastAsia="zh-CN"/>
        </w:rPr>
      </w:pPr>
      <w:r>
        <w:rPr>
          <w:rFonts w:hint="eastAsia" w:ascii="楷体_GB2312" w:hAnsi="Times New Roman" w:eastAsia="楷体_GB2312" w:cs="Times New Roman"/>
          <w:b w:val="0"/>
          <w:bCs w:val="0"/>
          <w:color w:val="000000"/>
          <w:kern w:val="2"/>
          <w:sz w:val="32"/>
          <w:szCs w:val="32"/>
          <w:lang w:val="en-US" w:eastAsia="zh-CN" w:bidi="ar"/>
        </w:rPr>
        <w:t xml:space="preserve">第二十六条 </w:t>
      </w:r>
      <w:r>
        <w:rPr>
          <w:rFonts w:hint="eastAsia" w:ascii="仿宋_GB2312" w:hAnsi="Times New Roman" w:eastAsia="仿宋_GB2312" w:cs="Times New Roman"/>
          <w:sz w:val="32"/>
          <w:szCs w:val="32"/>
          <w:lang w:val="en-US" w:eastAsia="zh-CN"/>
        </w:rPr>
        <w:t>固定薪酬计算周期为自然月，即每月1</w:t>
      </w:r>
      <w:r>
        <w:rPr>
          <w:rFonts w:hint="default" w:ascii="仿宋_GB2312" w:hAnsi="Times New Roman" w:eastAsia="仿宋_GB2312" w:cs="Times New Roman"/>
          <w:sz w:val="32"/>
          <w:szCs w:val="32"/>
          <w:lang w:val="en-US" w:eastAsia="zh-CN"/>
        </w:rPr>
        <w:t>日至该月度最后一日。于</w:t>
      </w:r>
      <w:r>
        <w:rPr>
          <w:rFonts w:hint="eastAsia" w:ascii="仿宋_GB2312" w:hAnsi="Times New Roman" w:eastAsia="仿宋_GB2312" w:cs="Times New Roman"/>
          <w:sz w:val="32"/>
          <w:szCs w:val="32"/>
          <w:highlight w:val="none"/>
          <w:lang w:val="en-US" w:eastAsia="zh-CN"/>
        </w:rPr>
        <w:t>当月8</w:t>
      </w:r>
      <w:r>
        <w:rPr>
          <w:rFonts w:hint="default" w:ascii="仿宋_GB2312" w:hAnsi="Times New Roman" w:eastAsia="仿宋_GB2312" w:cs="Times New Roman"/>
          <w:sz w:val="32"/>
          <w:szCs w:val="32"/>
          <w:highlight w:val="none"/>
          <w:lang w:val="en-US" w:eastAsia="zh-CN"/>
        </w:rPr>
        <w:t>日</w:t>
      </w:r>
      <w:r>
        <w:rPr>
          <w:rFonts w:hint="default" w:ascii="仿宋_GB2312" w:hAnsi="Times New Roman" w:eastAsia="仿宋_GB2312" w:cs="Times New Roman"/>
          <w:sz w:val="32"/>
          <w:szCs w:val="32"/>
          <w:lang w:val="en-US" w:eastAsia="zh-CN"/>
        </w:rPr>
        <w:t>发放</w:t>
      </w:r>
      <w:r>
        <w:rPr>
          <w:rFonts w:hint="eastAsia" w:ascii="仿宋_GB2312" w:hAnsi="Times New Roman" w:eastAsia="仿宋_GB2312" w:cs="Times New Roman"/>
          <w:sz w:val="32"/>
          <w:szCs w:val="32"/>
          <w:lang w:val="en-US" w:eastAsia="zh-CN"/>
        </w:rPr>
        <w:t>当月</w:t>
      </w:r>
      <w:r>
        <w:rPr>
          <w:rFonts w:hint="default" w:ascii="仿宋_GB2312" w:hAnsi="Times New Roman" w:eastAsia="仿宋_GB2312" w:cs="Times New Roman"/>
          <w:sz w:val="32"/>
          <w:szCs w:val="32"/>
          <w:lang w:val="en-US" w:eastAsia="zh-CN"/>
        </w:rPr>
        <w:t>月薪酬。发薪日如遇公休日或法定节假日，则提前至最近的工作日发放。浮动薪酬在每年除夕前</w:t>
      </w:r>
      <w:r>
        <w:rPr>
          <w:rFonts w:hint="eastAsia" w:ascii="仿宋_GB2312" w:hAnsi="Times New Roman" w:eastAsia="仿宋_GB2312" w:cs="Times New Roman"/>
          <w:sz w:val="32"/>
          <w:szCs w:val="32"/>
          <w:lang w:val="en-US" w:eastAsia="zh-CN"/>
        </w:rPr>
        <w:t>3</w:t>
      </w:r>
      <w:r>
        <w:rPr>
          <w:rFonts w:hint="default" w:ascii="仿宋_GB2312" w:hAnsi="Times New Roman" w:eastAsia="仿宋_GB2312" w:cs="Times New Roman"/>
          <w:sz w:val="32"/>
          <w:szCs w:val="32"/>
          <w:lang w:val="en-US" w:eastAsia="zh-CN"/>
        </w:rPr>
        <w:t>个工作日内发放。</w:t>
      </w:r>
    </w:p>
    <w:p w14:paraId="4906E32B">
      <w:pPr>
        <w:keepNext w:val="0"/>
        <w:keepLines w:val="0"/>
        <w:widowControl/>
        <w:suppressLineNumbers w:val="0"/>
        <w:spacing w:line="560" w:lineRule="exact"/>
        <w:ind w:firstLine="640" w:firstLineChars="200"/>
        <w:jc w:val="left"/>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b w:val="0"/>
          <w:bCs w:val="0"/>
          <w:color w:val="000000"/>
          <w:kern w:val="2"/>
          <w:sz w:val="32"/>
          <w:szCs w:val="32"/>
          <w:lang w:val="en-US" w:eastAsia="zh-CN" w:bidi="ar"/>
        </w:rPr>
        <w:t>第二十七条</w:t>
      </w:r>
      <w:r>
        <w:rPr>
          <w:rFonts w:ascii="仿宋" w:hAnsi="仿宋" w:eastAsia="仿宋" w:cs="仿宋"/>
          <w:b/>
          <w:bCs/>
          <w:color w:val="000000"/>
          <w:kern w:val="0"/>
          <w:sz w:val="31"/>
          <w:szCs w:val="31"/>
          <w:lang w:val="en-US" w:eastAsia="zh-CN" w:bidi="ar"/>
        </w:rPr>
        <w:t xml:space="preserve"> </w:t>
      </w:r>
      <w:r>
        <w:rPr>
          <w:rFonts w:hint="eastAsia" w:ascii="仿宋_GB2312" w:hAnsi="Times New Roman" w:eastAsia="仿宋_GB2312" w:cs="Times New Roman"/>
          <w:sz w:val="32"/>
          <w:szCs w:val="32"/>
          <w:lang w:val="en-US" w:eastAsia="zh-CN"/>
        </w:rPr>
        <w:t>员工薪酬依据月度出勤情况进行核算，计薪天数为每月21.75天。工作未满一个月的，按实际出勤天数计发薪酬，离职人员自离职之日起停薪。</w:t>
      </w:r>
    </w:p>
    <w:p w14:paraId="0A02A911">
      <w:pPr>
        <w:keepNext w:val="0"/>
        <w:keepLines w:val="0"/>
        <w:widowControl/>
        <w:suppressLineNumbers w:val="0"/>
        <w:spacing w:line="560" w:lineRule="exact"/>
        <w:ind w:firstLine="640" w:firstLineChars="200"/>
        <w:jc w:val="left"/>
        <w:rPr>
          <w:rFonts w:hint="default" w:ascii="华文仿宋" w:hAnsi="华文仿宋" w:eastAsia="华文仿宋" w:cs="华文仿宋"/>
          <w:color w:val="000000"/>
          <w:kern w:val="0"/>
          <w:sz w:val="28"/>
          <w:szCs w:val="28"/>
          <w:lang w:val="en-US" w:eastAsia="zh-CN" w:bidi="ar"/>
        </w:rPr>
      </w:pPr>
      <w:r>
        <w:rPr>
          <w:rFonts w:hint="eastAsia" w:ascii="楷体_GB2312" w:hAnsi="Times New Roman" w:eastAsia="楷体_GB2312" w:cs="Times New Roman"/>
          <w:b w:val="0"/>
          <w:bCs w:val="0"/>
          <w:color w:val="000000"/>
          <w:kern w:val="2"/>
          <w:sz w:val="32"/>
          <w:szCs w:val="32"/>
          <w:lang w:val="en-US" w:eastAsia="zh-CN" w:bidi="ar"/>
        </w:rPr>
        <w:t>第二十八条</w:t>
      </w:r>
      <w:r>
        <w:rPr>
          <w:rFonts w:hint="eastAsia" w:ascii="仿宋" w:hAnsi="仿宋" w:eastAsia="仿宋" w:cs="仿宋"/>
          <w:b/>
          <w:bCs/>
          <w:color w:val="000000"/>
          <w:kern w:val="0"/>
          <w:sz w:val="31"/>
          <w:szCs w:val="31"/>
          <w:lang w:val="en-US" w:eastAsia="zh-CN" w:bidi="ar"/>
        </w:rPr>
        <w:t xml:space="preserve"> </w:t>
      </w:r>
      <w:r>
        <w:rPr>
          <w:rFonts w:hint="eastAsia" w:ascii="仿宋_GB2312" w:hAnsi="Times New Roman" w:eastAsia="仿宋_GB2312" w:cs="Times New Roman"/>
          <w:sz w:val="32"/>
          <w:szCs w:val="32"/>
          <w:lang w:val="en-US" w:eastAsia="zh-CN"/>
        </w:rPr>
        <w:t>试用期员工基本薪酬按照</w:t>
      </w:r>
      <w:r>
        <w:rPr>
          <w:rFonts w:hint="eastAsia" w:ascii="仿宋_GB2312" w:eastAsia="仿宋_GB2312" w:cs="Times New Roman"/>
          <w:sz w:val="32"/>
          <w:szCs w:val="32"/>
          <w:lang w:val="en-US" w:eastAsia="zh-CN"/>
        </w:rPr>
        <w:t>薪酬</w:t>
      </w:r>
      <w:r>
        <w:rPr>
          <w:rFonts w:hint="eastAsia" w:ascii="仿宋_GB2312" w:hAnsi="Times New Roman" w:eastAsia="仿宋_GB2312" w:cs="Times New Roman"/>
          <w:sz w:val="32"/>
          <w:szCs w:val="32"/>
          <w:lang w:val="en-US" w:eastAsia="zh-CN"/>
        </w:rPr>
        <w:t>标准的80%</w:t>
      </w:r>
      <w:r>
        <w:rPr>
          <w:rFonts w:hint="eastAsia" w:ascii="仿宋_GB2312" w:eastAsia="仿宋_GB2312" w:cs="Times New Roman"/>
          <w:sz w:val="32"/>
          <w:szCs w:val="32"/>
          <w:lang w:val="en-US" w:eastAsia="zh-CN"/>
        </w:rPr>
        <w:t>确</w:t>
      </w:r>
      <w:bookmarkStart w:id="0" w:name="_GoBack"/>
      <w:bookmarkEnd w:id="0"/>
      <w:r>
        <w:rPr>
          <w:rFonts w:hint="default" w:ascii="仿宋_GB2312" w:hAnsi="Times New Roman" w:eastAsia="仿宋_GB2312" w:cs="Times New Roman"/>
          <w:sz w:val="32"/>
          <w:szCs w:val="32"/>
          <w:lang w:val="en-US" w:eastAsia="zh-CN"/>
        </w:rPr>
        <w:t xml:space="preserve">定。 </w:t>
      </w:r>
    </w:p>
    <w:p w14:paraId="4077D670">
      <w:pPr>
        <w:keepNext w:val="0"/>
        <w:keepLines w:val="0"/>
        <w:widowControl/>
        <w:suppressLineNumbers w:val="0"/>
        <w:spacing w:line="560" w:lineRule="exact"/>
        <w:ind w:firstLine="640" w:firstLineChars="200"/>
        <w:jc w:val="left"/>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b w:val="0"/>
          <w:bCs w:val="0"/>
          <w:color w:val="000000"/>
          <w:kern w:val="2"/>
          <w:sz w:val="32"/>
          <w:szCs w:val="32"/>
          <w:lang w:val="en-US" w:eastAsia="zh-CN" w:bidi="ar"/>
        </w:rPr>
        <w:t>第二十九条</w:t>
      </w:r>
      <w:r>
        <w:rPr>
          <w:rFonts w:hint="eastAsia" w:ascii="仿宋" w:hAnsi="仿宋" w:eastAsia="仿宋" w:cs="仿宋"/>
          <w:b/>
          <w:bCs/>
          <w:color w:val="000000"/>
          <w:kern w:val="0"/>
          <w:sz w:val="31"/>
          <w:szCs w:val="31"/>
          <w:lang w:val="en-US" w:eastAsia="zh-CN" w:bidi="ar"/>
        </w:rPr>
        <w:t xml:space="preserve"> </w:t>
      </w:r>
      <w:r>
        <w:rPr>
          <w:rFonts w:hint="eastAsia" w:ascii="仿宋_GB2312" w:hAnsi="Times New Roman" w:eastAsia="仿宋_GB2312" w:cs="Times New Roman"/>
          <w:sz w:val="32"/>
          <w:szCs w:val="32"/>
          <w:lang w:val="en-US" w:eastAsia="zh-CN"/>
        </w:rPr>
        <w:t>新入职员工根据其实际工作天数计发，当月8日前入职的员工于当月计发，当月8日后入职的员工于次月补发。岗位调动员工新岗位工资统一于次月补齐差额。</w:t>
      </w:r>
    </w:p>
    <w:p w14:paraId="00DB1B83">
      <w:pPr>
        <w:keepNext w:val="0"/>
        <w:keepLines w:val="0"/>
        <w:widowControl/>
        <w:suppressLineNumbers w:val="0"/>
        <w:spacing w:line="560" w:lineRule="exact"/>
        <w:ind w:firstLine="640" w:firstLineChars="200"/>
        <w:jc w:val="left"/>
        <w:rPr>
          <w:rFonts w:hint="default" w:ascii="仿宋_GB2312" w:hAnsi="Times New Roman" w:eastAsia="仿宋_GB2312" w:cs="Times New Roman"/>
          <w:sz w:val="32"/>
          <w:szCs w:val="32"/>
          <w:lang w:val="en-US" w:eastAsia="zh-CN"/>
        </w:rPr>
      </w:pPr>
      <w:r>
        <w:rPr>
          <w:rFonts w:hint="eastAsia" w:ascii="楷体_GB2312" w:hAnsi="Times New Roman" w:eastAsia="楷体_GB2312" w:cs="Times New Roman"/>
          <w:b w:val="0"/>
          <w:bCs w:val="0"/>
          <w:color w:val="000000"/>
          <w:kern w:val="2"/>
          <w:sz w:val="32"/>
          <w:szCs w:val="32"/>
          <w:lang w:val="en-US" w:eastAsia="zh-CN" w:bidi="ar"/>
        </w:rPr>
        <w:t xml:space="preserve">第三十条 </w:t>
      </w:r>
      <w:r>
        <w:rPr>
          <w:rFonts w:hint="default" w:ascii="仿宋_GB2312" w:hAnsi="Times New Roman" w:eastAsia="仿宋_GB2312" w:cs="Times New Roman"/>
          <w:sz w:val="32"/>
          <w:szCs w:val="32"/>
          <w:lang w:val="en-US" w:eastAsia="zh-CN"/>
        </w:rPr>
        <w:t>劳动合同中约定的薪酬为税前薪酬，下列款项从薪酬中扣除：</w:t>
      </w:r>
    </w:p>
    <w:p w14:paraId="30BEF02E">
      <w:pPr>
        <w:keepNext w:val="0"/>
        <w:keepLines w:val="0"/>
        <w:widowControl/>
        <w:suppressLineNumbers w:val="0"/>
        <w:spacing w:line="560" w:lineRule="exact"/>
        <w:ind w:firstLine="640" w:firstLineChars="200"/>
        <w:jc w:val="left"/>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(一</w:t>
      </w:r>
      <w:r>
        <w:rPr>
          <w:rFonts w:hint="default" w:ascii="仿宋_GB2312" w:hAnsi="Times New Roman" w:eastAsia="仿宋_GB2312" w:cs="Times New Roman"/>
          <w:sz w:val="32"/>
          <w:szCs w:val="32"/>
          <w:lang w:val="en-US" w:eastAsia="zh-CN"/>
        </w:rPr>
        <w:t xml:space="preserve">) 个人所得税； </w:t>
      </w:r>
    </w:p>
    <w:p w14:paraId="08605D41">
      <w:pPr>
        <w:keepNext w:val="0"/>
        <w:keepLines w:val="0"/>
        <w:widowControl/>
        <w:suppressLineNumbers w:val="0"/>
        <w:spacing w:line="560" w:lineRule="exact"/>
        <w:ind w:firstLine="640" w:firstLineChars="200"/>
        <w:jc w:val="left"/>
        <w:rPr>
          <w:rFonts w:hint="eastAsia" w:ascii="仿宋_GB2312" w:hAnsi="Times New Roman" w:eastAsia="仿宋_GB2312" w:cs="Times New Roman"/>
          <w:sz w:val="32"/>
          <w:szCs w:val="32"/>
          <w:lang w:val="en-US" w:eastAsia="zh-CN"/>
        </w:rPr>
      </w:pPr>
      <w:r>
        <w:rPr>
          <w:rFonts w:hint="default" w:ascii="仿宋_GB2312" w:hAnsi="Times New Roman" w:eastAsia="仿宋_GB2312" w:cs="Times New Roman"/>
          <w:sz w:val="32"/>
          <w:szCs w:val="32"/>
          <w:lang w:val="en-US" w:eastAsia="zh-CN"/>
        </w:rPr>
        <w:t>(二) 个人承担的公积金和各项社会保险费用；</w:t>
      </w:r>
    </w:p>
    <w:p w14:paraId="76270A38">
      <w:pPr>
        <w:keepNext w:val="0"/>
        <w:keepLines w:val="0"/>
        <w:widowControl/>
        <w:suppressLineNumbers w:val="0"/>
        <w:spacing w:line="560" w:lineRule="exact"/>
        <w:ind w:firstLine="640" w:firstLineChars="200"/>
        <w:jc w:val="left"/>
        <w:rPr>
          <w:rFonts w:hint="eastAsia" w:ascii="仿宋_GB2312" w:hAnsi="Times New Roman" w:eastAsia="仿宋_GB2312" w:cs="Times New Roman"/>
          <w:sz w:val="32"/>
          <w:szCs w:val="32"/>
          <w:lang w:val="en-US" w:eastAsia="zh-CN"/>
        </w:rPr>
      </w:pPr>
      <w:r>
        <w:rPr>
          <w:rFonts w:hint="default" w:ascii="仿宋_GB2312" w:hAnsi="Times New Roman" w:eastAsia="仿宋_GB2312" w:cs="Times New Roman"/>
          <w:sz w:val="32"/>
          <w:szCs w:val="32"/>
          <w:lang w:val="en-US" w:eastAsia="zh-CN"/>
        </w:rPr>
        <w:t xml:space="preserve">(三) 缺勤扣除款； </w:t>
      </w:r>
    </w:p>
    <w:p w14:paraId="7C9C5805">
      <w:pPr>
        <w:keepNext w:val="0"/>
        <w:keepLines w:val="0"/>
        <w:widowControl/>
        <w:suppressLineNumbers w:val="0"/>
        <w:spacing w:line="560" w:lineRule="exact"/>
        <w:ind w:firstLine="640" w:firstLineChars="200"/>
        <w:jc w:val="left"/>
        <w:rPr>
          <w:rFonts w:hint="eastAsia" w:ascii="仿宋_GB2312" w:hAnsi="Times New Roman" w:eastAsia="仿宋_GB2312" w:cs="Times New Roman"/>
          <w:sz w:val="32"/>
          <w:szCs w:val="32"/>
          <w:lang w:val="en-US" w:eastAsia="zh-CN"/>
        </w:rPr>
      </w:pPr>
      <w:r>
        <w:rPr>
          <w:rFonts w:hint="default" w:ascii="仿宋_GB2312" w:hAnsi="Times New Roman" w:eastAsia="仿宋_GB2312" w:cs="Times New Roman"/>
          <w:sz w:val="32"/>
          <w:szCs w:val="32"/>
          <w:lang w:val="en-US" w:eastAsia="zh-CN"/>
        </w:rPr>
        <w:t xml:space="preserve">(四) 法律规定需扣除的款项； </w:t>
      </w:r>
    </w:p>
    <w:p w14:paraId="4F80CBF4">
      <w:pPr>
        <w:keepNext w:val="0"/>
        <w:keepLines w:val="0"/>
        <w:widowControl/>
        <w:suppressLineNumbers w:val="0"/>
        <w:spacing w:line="560" w:lineRule="exact"/>
        <w:ind w:firstLine="640" w:firstLineChars="200"/>
        <w:jc w:val="left"/>
        <w:rPr>
          <w:rFonts w:hint="eastAsia" w:ascii="仿宋_GB2312" w:hAnsi="Times New Roman" w:eastAsia="仿宋_GB2312" w:cs="Times New Roman"/>
          <w:sz w:val="32"/>
          <w:szCs w:val="32"/>
          <w:lang w:val="en-US" w:eastAsia="zh-CN"/>
        </w:rPr>
      </w:pPr>
      <w:r>
        <w:rPr>
          <w:rFonts w:hint="default" w:ascii="仿宋_GB2312" w:hAnsi="Times New Roman" w:eastAsia="仿宋_GB2312" w:cs="Times New Roman"/>
          <w:sz w:val="32"/>
          <w:szCs w:val="32"/>
          <w:lang w:val="en-US" w:eastAsia="zh-CN"/>
        </w:rPr>
        <w:t xml:space="preserve">(五) </w:t>
      </w:r>
      <w:r>
        <w:rPr>
          <w:rFonts w:hint="eastAsia" w:ascii="仿宋_GB2312" w:hAnsi="Times New Roman" w:eastAsia="仿宋_GB2312" w:cs="Times New Roman"/>
          <w:sz w:val="32"/>
          <w:szCs w:val="32"/>
          <w:lang w:val="en-US" w:eastAsia="zh-CN"/>
        </w:rPr>
        <w:t>基金会</w:t>
      </w:r>
      <w:r>
        <w:rPr>
          <w:rFonts w:hint="default" w:ascii="仿宋_GB2312" w:hAnsi="Times New Roman" w:eastAsia="仿宋_GB2312" w:cs="Times New Roman"/>
          <w:sz w:val="32"/>
          <w:szCs w:val="32"/>
          <w:lang w:val="en-US" w:eastAsia="zh-CN"/>
        </w:rPr>
        <w:t>内部管理规定的扣除款项。</w:t>
      </w:r>
    </w:p>
    <w:p w14:paraId="69A9F0C9">
      <w:pPr>
        <w:keepNext w:val="0"/>
        <w:keepLines w:val="0"/>
        <w:widowControl/>
        <w:suppressLineNumbers w:val="0"/>
        <w:jc w:val="left"/>
      </w:pPr>
    </w:p>
    <w:p w14:paraId="0CDA8AF5">
      <w:pPr>
        <w:keepNext w:val="0"/>
        <w:keepLines w:val="0"/>
        <w:widowControl/>
        <w:suppressLineNumbers w:val="0"/>
        <w:jc w:val="left"/>
      </w:pPr>
    </w:p>
    <w:p w14:paraId="6A55F017">
      <w:pPr>
        <w:spacing w:line="560" w:lineRule="exact"/>
        <w:jc w:val="center"/>
        <w:rPr>
          <w:rFonts w:hint="eastAsia" w:ascii="黑体" w:hAnsi="黑体" w:eastAsia="黑体" w:cs="Times New Roman"/>
          <w:color w:val="000000"/>
          <w:sz w:val="32"/>
          <w:szCs w:val="32"/>
          <w:lang w:val="en-US" w:eastAsia="zh-CN"/>
        </w:rPr>
      </w:pPr>
      <w:r>
        <w:rPr>
          <w:rFonts w:hint="eastAsia" w:ascii="黑体" w:hAnsi="黑体" w:eastAsia="黑体" w:cs="Times New Roman"/>
          <w:color w:val="000000"/>
          <w:sz w:val="32"/>
          <w:szCs w:val="32"/>
          <w:lang w:val="en-US" w:eastAsia="zh-CN"/>
        </w:rPr>
        <w:t>第七章 附则</w:t>
      </w:r>
    </w:p>
    <w:p w14:paraId="1F169773">
      <w:pPr>
        <w:keepNext w:val="0"/>
        <w:keepLines w:val="0"/>
        <w:widowControl/>
        <w:suppressLineNumbers w:val="0"/>
        <w:spacing w:line="560" w:lineRule="exact"/>
        <w:ind w:firstLine="640" w:firstLineChars="200"/>
        <w:jc w:val="left"/>
        <w:rPr>
          <w:rFonts w:hint="eastAsia" w:ascii="仿宋_GB2312" w:hAnsi="Times New Roman" w:eastAsia="仿宋_GB2312" w:cs="Times New Roman"/>
          <w:sz w:val="32"/>
          <w:szCs w:val="32"/>
          <w:lang w:val="en-US" w:eastAsia="zh-CN"/>
        </w:rPr>
      </w:pPr>
      <w:r>
        <w:rPr>
          <w:rFonts w:hint="eastAsia" w:ascii="楷体_GB2312" w:hAnsi="Times New Roman" w:eastAsia="楷体_GB2312" w:cs="Times New Roman"/>
          <w:b w:val="0"/>
          <w:bCs w:val="0"/>
          <w:color w:val="000000"/>
          <w:kern w:val="2"/>
          <w:sz w:val="32"/>
          <w:szCs w:val="32"/>
          <w:lang w:val="en-US" w:eastAsia="zh-CN" w:bidi="ar"/>
        </w:rPr>
        <w:t xml:space="preserve">第三十一条 </w:t>
      </w:r>
      <w:r>
        <w:rPr>
          <w:rFonts w:hint="eastAsia" w:ascii="仿宋_GB2312" w:hAnsi="Times New Roman" w:eastAsia="仿宋_GB2312" w:cs="Times New Roman"/>
          <w:sz w:val="32"/>
          <w:szCs w:val="32"/>
          <w:lang w:val="en-US" w:eastAsia="zh-CN"/>
        </w:rPr>
        <w:t>本办法由宁波鄞州银行公益基金会制定、修改、解释，与</w:t>
      </w:r>
      <w:r>
        <w:rPr>
          <w:rFonts w:hint="default" w:ascii="仿宋_GB2312" w:hAnsi="Times New Roman" w:eastAsia="仿宋_GB2312" w:cs="Times New Roman"/>
          <w:sz w:val="32"/>
          <w:szCs w:val="32"/>
          <w:lang w:val="en-US" w:eastAsia="zh-CN"/>
        </w:rPr>
        <w:t>国家相关规定冲突的，按国家相关规定执行。</w:t>
      </w:r>
    </w:p>
    <w:p w14:paraId="714F5B12">
      <w:pPr>
        <w:keepNext w:val="0"/>
        <w:keepLines w:val="0"/>
        <w:widowControl/>
        <w:suppressLineNumbers w:val="0"/>
        <w:spacing w:line="560" w:lineRule="exact"/>
        <w:ind w:firstLine="640" w:firstLineChars="200"/>
        <w:jc w:val="left"/>
        <w:rPr>
          <w:rFonts w:hint="default" w:ascii="仿宋_GB2312" w:hAnsi="Times New Roman" w:eastAsia="仿宋_GB2312" w:cs="Times New Roman"/>
          <w:sz w:val="32"/>
          <w:szCs w:val="32"/>
          <w:lang w:val="en-US" w:eastAsia="zh-CN"/>
        </w:rPr>
      </w:pPr>
      <w:r>
        <w:rPr>
          <w:rFonts w:hint="eastAsia" w:ascii="楷体_GB2312" w:hAnsi="Times New Roman" w:eastAsia="楷体_GB2312" w:cs="Times New Roman"/>
          <w:b w:val="0"/>
          <w:bCs w:val="0"/>
          <w:color w:val="000000"/>
          <w:kern w:val="2"/>
          <w:sz w:val="32"/>
          <w:szCs w:val="32"/>
          <w:lang w:val="en-US" w:eastAsia="zh-CN" w:bidi="ar"/>
        </w:rPr>
        <w:t>第三十二条</w:t>
      </w:r>
      <w:r>
        <w:rPr>
          <w:rFonts w:hint="eastAsia" w:ascii="仿宋" w:hAnsi="仿宋" w:eastAsia="仿宋" w:cs="仿宋"/>
          <w:b/>
          <w:bCs/>
          <w:color w:val="000000"/>
          <w:kern w:val="0"/>
          <w:sz w:val="31"/>
          <w:szCs w:val="31"/>
          <w:lang w:val="en-US" w:eastAsia="zh-CN" w:bidi="ar"/>
        </w:rPr>
        <w:t xml:space="preserve"> </w:t>
      </w:r>
      <w:r>
        <w:rPr>
          <w:rFonts w:hint="default" w:ascii="仿宋_GB2312" w:hAnsi="Times New Roman" w:eastAsia="仿宋_GB2312" w:cs="Times New Roman"/>
          <w:sz w:val="32"/>
          <w:szCs w:val="32"/>
          <w:lang w:val="en-US" w:eastAsia="zh-CN"/>
        </w:rPr>
        <w:t>本</w:t>
      </w:r>
      <w:r>
        <w:rPr>
          <w:rFonts w:hint="eastAsia" w:ascii="仿宋_GB2312" w:hAnsi="Times New Roman" w:eastAsia="仿宋_GB2312" w:cs="Times New Roman"/>
          <w:sz w:val="32"/>
          <w:szCs w:val="32"/>
          <w:lang w:val="en-US" w:eastAsia="zh-CN"/>
        </w:rPr>
        <w:t>办法</w:t>
      </w:r>
      <w:r>
        <w:rPr>
          <w:rFonts w:hint="default" w:ascii="仿宋_GB2312" w:hAnsi="Times New Roman" w:eastAsia="仿宋_GB2312" w:cs="Times New Roman"/>
          <w:sz w:val="32"/>
          <w:szCs w:val="32"/>
          <w:lang w:val="en-US" w:eastAsia="zh-CN"/>
        </w:rPr>
        <w:t>自</w:t>
      </w:r>
      <w:r>
        <w:rPr>
          <w:rFonts w:hint="eastAsia" w:ascii="仿宋_GB2312" w:hAnsi="Times New Roman" w:eastAsia="仿宋_GB2312" w:cs="Times New Roman"/>
          <w:sz w:val="32"/>
          <w:szCs w:val="32"/>
          <w:lang w:val="en-US" w:eastAsia="zh-CN"/>
        </w:rPr>
        <w:t>理事会</w:t>
      </w:r>
      <w:r>
        <w:rPr>
          <w:rFonts w:hint="default" w:ascii="仿宋_GB2312" w:hAnsi="Times New Roman" w:eastAsia="仿宋_GB2312" w:cs="Times New Roman"/>
          <w:sz w:val="32"/>
          <w:szCs w:val="32"/>
          <w:lang w:val="en-US" w:eastAsia="zh-CN"/>
        </w:rPr>
        <w:t xml:space="preserve">审议通过后，自颁布之日起施行。 </w:t>
      </w:r>
    </w:p>
    <w:p w14:paraId="3C0EBEEF">
      <w:pPr>
        <w:keepNext w:val="0"/>
        <w:keepLines w:val="0"/>
        <w:widowControl/>
        <w:suppressLineNumbers w:val="0"/>
        <w:spacing w:line="560" w:lineRule="exact"/>
        <w:ind w:firstLine="640" w:firstLineChars="200"/>
        <w:jc w:val="left"/>
        <w:rPr>
          <w:rFonts w:hint="default" w:ascii="仿宋_GB2312" w:hAnsi="Times New Roman" w:eastAsia="仿宋_GB2312" w:cs="Times New Roman"/>
          <w:sz w:val="32"/>
          <w:szCs w:val="32"/>
          <w:lang w:val="en-US" w:eastAsia="zh-CN"/>
        </w:rPr>
      </w:pPr>
    </w:p>
    <w:p w14:paraId="17CC50F0">
      <w:pPr>
        <w:spacing w:line="560" w:lineRule="exact"/>
        <w:ind w:right="640" w:firstLine="640" w:firstLineChars="200"/>
        <w:jc w:val="right"/>
        <w:rPr>
          <w:rFonts w:hint="default" w:ascii="仿宋_GB2312" w:hAnsi="黑体" w:eastAsia="仿宋_GB2312"/>
          <w:color w:val="000000"/>
          <w:sz w:val="32"/>
          <w:szCs w:val="32"/>
          <w:lang w:val="en-US" w:eastAsia="zh-CN"/>
        </w:rPr>
      </w:pPr>
      <w:r>
        <w:rPr>
          <w:rFonts w:hint="eastAsia" w:ascii="仿宋_GB2312" w:hAnsi="黑体" w:eastAsia="仿宋_GB2312"/>
          <w:color w:val="000000"/>
          <w:sz w:val="32"/>
          <w:szCs w:val="32"/>
        </w:rPr>
        <w:t>宁波鄞州银行</w:t>
      </w:r>
      <w:r>
        <w:rPr>
          <w:rFonts w:hint="eastAsia" w:ascii="仿宋_GB2312" w:hAnsi="黑体" w:eastAsia="仿宋_GB2312"/>
          <w:color w:val="000000"/>
          <w:sz w:val="32"/>
          <w:szCs w:val="32"/>
          <w:lang w:val="en-US" w:eastAsia="zh-CN"/>
        </w:rPr>
        <w:t>公益基金会</w:t>
      </w:r>
    </w:p>
    <w:p w14:paraId="66B50959">
      <w:pPr>
        <w:spacing w:line="560" w:lineRule="exact"/>
        <w:ind w:right="640" w:firstLine="1600" w:firstLineChars="500"/>
        <w:jc w:val="right"/>
        <w:rPr>
          <w:rFonts w:hint="eastAsia" w:ascii="仿宋_GB2312" w:hAnsi="Times New Roman" w:eastAsia="仿宋_GB2312" w:cs="Times New Roman"/>
          <w:color w:val="auto"/>
          <w:spacing w:val="0"/>
          <w:w w:val="100"/>
          <w:kern w:val="2"/>
          <w:position w:val="0"/>
          <w:sz w:val="32"/>
          <w:szCs w:val="32"/>
          <w:u w:val="none" w:color="000000"/>
          <w:shd w:val="clear" w:color="auto" w:fill="auto"/>
          <w:vertAlign w:val="baseline"/>
          <w:rtl w:val="0"/>
          <w:lang w:val="zh-TW" w:eastAsia="zh-TW" w:bidi="ar-SA"/>
        </w:rPr>
      </w:pPr>
      <w:r>
        <w:rPr>
          <w:rFonts w:hint="eastAsia" w:ascii="仿宋_GB2312" w:hAnsi="黑体" w:eastAsia="仿宋_GB2312"/>
          <w:color w:val="000000"/>
          <w:sz w:val="32"/>
          <w:szCs w:val="32"/>
          <w:lang w:val="en-US" w:eastAsia="zh-CN"/>
        </w:rPr>
        <w:t>二〇二五</w:t>
      </w:r>
      <w:r>
        <w:rPr>
          <w:rFonts w:hint="eastAsia" w:ascii="仿宋_GB2312" w:hAnsi="黑体" w:eastAsia="仿宋_GB2312"/>
          <w:color w:val="000000"/>
          <w:sz w:val="32"/>
          <w:szCs w:val="32"/>
        </w:rPr>
        <w:t>年</w:t>
      </w:r>
      <w:r>
        <w:rPr>
          <w:rFonts w:hint="eastAsia" w:ascii="仿宋_GB2312" w:hAnsi="黑体" w:eastAsia="仿宋_GB2312"/>
          <w:color w:val="000000"/>
          <w:sz w:val="32"/>
          <w:szCs w:val="32"/>
          <w:lang w:val="en-US" w:eastAsia="zh-CN"/>
        </w:rPr>
        <w:t>三</w:t>
      </w:r>
      <w:r>
        <w:rPr>
          <w:rFonts w:hint="eastAsia" w:ascii="仿宋_GB2312" w:hAnsi="黑体" w:eastAsia="仿宋_GB2312"/>
          <w:color w:val="000000"/>
          <w:sz w:val="32"/>
          <w:szCs w:val="32"/>
        </w:rPr>
        <w:t>月</w:t>
      </w:r>
      <w:r>
        <w:rPr>
          <w:rFonts w:hint="eastAsia" w:ascii="仿宋_GB2312" w:hAnsi="黑体" w:eastAsia="仿宋_GB2312"/>
          <w:color w:val="000000"/>
          <w:sz w:val="32"/>
          <w:szCs w:val="32"/>
          <w:lang w:val="en-US" w:eastAsia="zh-CN"/>
        </w:rPr>
        <w:t>二十五</w:t>
      </w:r>
      <w:r>
        <w:rPr>
          <w:rFonts w:hint="eastAsia" w:ascii="仿宋_GB2312" w:hAnsi="黑体" w:eastAsia="仿宋_GB2312"/>
          <w:color w:val="000000"/>
          <w:sz w:val="32"/>
          <w:szCs w:val="32"/>
        </w:rPr>
        <w:t>日</w:t>
      </w:r>
    </w:p>
    <w:p w14:paraId="55948CD5">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pPr>
    </w:p>
    <w:sectPr>
      <w:headerReference r:id="rId3" w:type="default"/>
      <w:footerReference r:id="rId4" w:type="default"/>
      <w:pgSz w:w="11906" w:h="16838"/>
      <w:pgMar w:top="1440" w:right="1803" w:bottom="1440" w:left="1519" w:header="851" w:footer="992" w:gutter="0"/>
      <w:cols w:space="0" w:num="1"/>
      <w:rtlGutter w:val="0"/>
      <w:docGrid w:type="lines" w:linePitch="39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7F0212B-9695-43EA-BAA7-C0D5F2F5AFC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embedRegular r:id="rId2" w:fontKey="{8CC4BED3-2A49-42D9-83F6-964E6EE277FC}"/>
  </w:font>
  <w:font w:name="Arial Unicode MS">
    <w:panose1 w:val="020B0604020202020204"/>
    <w:charset w:val="86"/>
    <w:family w:val="roman"/>
    <w:pitch w:val="default"/>
    <w:sig w:usb0="FFFFFFFF" w:usb1="E9FFFFFF" w:usb2="0000003F" w:usb3="00000000" w:csb0="603F01FF" w:csb1="FFFF0000"/>
  </w:font>
  <w:font w:name="楷体_GB2312">
    <w:altName w:val="楷体"/>
    <w:panose1 w:val="02010609030101010101"/>
    <w:charset w:val="86"/>
    <w:family w:val="modern"/>
    <w:pitch w:val="default"/>
    <w:sig w:usb0="00000000" w:usb1="00000000" w:usb2="00000000" w:usb3="00000000" w:csb0="00040000" w:csb1="00000000"/>
    <w:embedRegular r:id="rId3" w:fontKey="{E08C5377-09D8-417A-BF57-48162DB2444D}"/>
  </w:font>
  <w:font w:name="Helvetica Neue">
    <w:altName w:val="Times New Roman"/>
    <w:panose1 w:val="00000000000000000000"/>
    <w:charset w:val="00"/>
    <w:family w:val="roman"/>
    <w:pitch w:val="default"/>
    <w:sig w:usb0="00000000" w:usb1="00000000" w:usb2="00000000" w:usb3="00000000" w:csb0="00000000" w:csb1="00000000"/>
  </w:font>
  <w:font w:name="方正小标宋简体">
    <w:panose1 w:val="02010601030101010101"/>
    <w:charset w:val="86"/>
    <w:family w:val="script"/>
    <w:pitch w:val="default"/>
    <w:sig w:usb0="00000001" w:usb1="080E0000" w:usb2="00000000" w:usb3="00000000" w:csb0="00040000" w:csb1="00000000"/>
  </w:font>
  <w:font w:name="方正仿宋简体">
    <w:panose1 w:val="02010601030101010101"/>
    <w:charset w:val="86"/>
    <w:family w:val="script"/>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PMingLiU">
    <w:panose1 w:val="02020500000000000000"/>
    <w:charset w:val="88"/>
    <w:family w:val="roman"/>
    <w:pitch w:val="default"/>
    <w:sig w:usb0="A00002FF" w:usb1="28CFFCFA" w:usb2="00000016" w:usb3="00000000" w:csb0="00100001" w:csb1="00000000"/>
  </w:font>
  <w:font w:name="仿宋">
    <w:panose1 w:val="02010609060101010101"/>
    <w:charset w:val="86"/>
    <w:family w:val="modern"/>
    <w:pitch w:val="default"/>
    <w:sig w:usb0="800002BF" w:usb1="38CF7CFA" w:usb2="00000016" w:usb3="00000000" w:csb0="00040001" w:csb1="00000000"/>
    <w:embedRegular r:id="rId4" w:fontKey="{B309034F-154A-4DE1-98A3-E95970DCCAF3}"/>
  </w:font>
  <w:font w:name="仿宋_GB2312">
    <w:panose1 w:val="02010609030101010101"/>
    <w:charset w:val="86"/>
    <w:family w:val="modern"/>
    <w:pitch w:val="default"/>
    <w:sig w:usb0="00000001" w:usb1="080E0000" w:usb2="00000000" w:usb3="00000000" w:csb0="00040000" w:csb1="00000000"/>
    <w:embedRegular r:id="rId5" w:fontKey="{8FB0ACC8-F956-43A6-9594-075C2032550D}"/>
  </w:font>
  <w:font w:name="华文仿宋">
    <w:panose1 w:val="02010600040101010101"/>
    <w:charset w:val="86"/>
    <w:family w:val="auto"/>
    <w:pitch w:val="default"/>
    <w:sig w:usb0="00000287" w:usb1="080F0000" w:usb2="00000000" w:usb3="00000000" w:csb0="0004009F" w:csb1="DFD70000"/>
    <w:embedRegular r:id="rId6" w:fontKey="{232EC101-407A-441D-B78F-CC97B572D62C}"/>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202F0B">
    <w:pPr>
      <w:pStyle w:val="13"/>
      <w:framePr w:wrap="auto" w:vAnchor="margin" w:hAnchor="text" w:yAlign="inline"/>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59C6DF">
    <w:pPr>
      <w:pStyle w:val="12"/>
      <w:framePr w:wrap="auto" w:vAnchor="margin" w:hAnchor="text" w:yAlign="inline"/>
      <w:bidi w:v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98"/>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66A65F4"/>
    <w:rsid w:val="02BB215E"/>
    <w:rsid w:val="0DCF246C"/>
    <w:rsid w:val="1BA664F8"/>
    <w:rsid w:val="210E4BD0"/>
    <w:rsid w:val="22775899"/>
    <w:rsid w:val="36056765"/>
    <w:rsid w:val="3DE70310"/>
    <w:rsid w:val="419E0691"/>
    <w:rsid w:val="42B914BF"/>
    <w:rsid w:val="450B7452"/>
    <w:rsid w:val="46EF4DF0"/>
    <w:rsid w:val="498F4DFA"/>
    <w:rsid w:val="4C4E62AB"/>
    <w:rsid w:val="4C752B7D"/>
    <w:rsid w:val="50434E3C"/>
    <w:rsid w:val="53ED2E99"/>
    <w:rsid w:val="55C437B6"/>
    <w:rsid w:val="56B85264"/>
    <w:rsid w:val="57EA62EB"/>
    <w:rsid w:val="5A647BDD"/>
    <w:rsid w:val="620A5B45"/>
    <w:rsid w:val="666A65F4"/>
    <w:rsid w:val="67C95B8F"/>
    <w:rsid w:val="76097931"/>
    <w:rsid w:val="775B600D"/>
    <w:rsid w:val="78D05741"/>
    <w:rsid w:val="7D6464C5"/>
    <w:rsid w:val="7ED74B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楷体_GB2312" w:cs="Times New Roman"/>
      <w:kern w:val="2"/>
      <w:sz w:val="28"/>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pPr>
      <w:keepNext w:val="0"/>
      <w:keepLines w:val="0"/>
      <w:widowControl/>
      <w:suppressLineNumbers w:val="0"/>
      <w:spacing w:before="0" w:beforeAutospacing="0" w:after="0" w:afterAutospacing="0"/>
      <w:ind w:left="0" w:right="0"/>
    </w:pPr>
    <w:rPr>
      <w:rFonts w:hint="default" w:ascii="Calibri" w:hAnsi="Calibri" w:cs="Times New Roman"/>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character" w:styleId="9">
    <w:name w:val="Strong"/>
    <w:basedOn w:val="8"/>
    <w:qFormat/>
    <w:uiPriority w:val="0"/>
    <w:rPr>
      <w:b/>
    </w:rPr>
  </w:style>
  <w:style w:type="table" w:customStyle="1" w:styleId="10">
    <w:name w:val="Table Normal"/>
    <w:qFormat/>
    <w:uiPriority w:val="0"/>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customStyle="1" w:styleId="11">
    <w:name w:val="正文 A"/>
    <w:next w:val="12"/>
    <w:qFormat/>
    <w:uiPriority w:val="0"/>
    <w:pPr>
      <w:keepNext w:val="0"/>
      <w:keepLines w:val="0"/>
      <w:pageBreakBefore w:val="0"/>
      <w:framePr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suppressAutoHyphens w:val="0"/>
      <w:bidi w:val="0"/>
      <w:spacing w:before="0" w:beforeAutospacing="0" w:after="0" w:afterAutospacing="0" w:line="240" w:lineRule="auto"/>
      <w:ind w:left="0" w:right="0" w:firstLine="0"/>
      <w:jc w:val="both"/>
      <w:outlineLvl w:val="9"/>
    </w:pPr>
    <w:rPr>
      <w:rFonts w:hint="eastAsia" w:ascii="Arial Unicode MS" w:hAnsi="Arial Unicode MS" w:eastAsia="Times New Roman" w:cs="Arial Unicode MS"/>
      <w:color w:val="000000"/>
      <w:spacing w:val="0"/>
      <w:w w:val="100"/>
      <w:kern w:val="2"/>
      <w:position w:val="0"/>
      <w:sz w:val="21"/>
      <w:szCs w:val="21"/>
      <w:u w:val="none" w:color="000000"/>
      <w:vertAlign w:val="baseline"/>
      <w:lang w:val="en-US"/>
    </w:rPr>
  </w:style>
  <w:style w:type="paragraph" w:customStyle="1" w:styleId="12">
    <w:name w:val="页眉与页脚"/>
    <w:qFormat/>
    <w:uiPriority w:val="0"/>
    <w:pPr>
      <w:keepNext w:val="0"/>
      <w:keepLines w:val="0"/>
      <w:pageBreakBefore w:val="0"/>
      <w:framePr w:wrap="auto"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tabs>
        <w:tab w:val="right" w:pos="9020"/>
      </w:tabs>
      <w:suppressAutoHyphens w:val="0"/>
      <w:bidi w:val="0"/>
      <w:spacing w:before="0" w:beforeAutospacing="0" w:after="0" w:afterAutospacing="0" w:line="240" w:lineRule="auto"/>
      <w:ind w:left="0" w:right="0" w:firstLine="0"/>
      <w:jc w:val="left"/>
      <w:outlineLvl w:val="9"/>
    </w:pPr>
    <w:rPr>
      <w:rFonts w:ascii="Helvetica Neue" w:hAnsi="Helvetica Neue" w:eastAsia="Arial Unicode MS" w:cs="Arial Unicode MS"/>
      <w:color w:val="000000"/>
      <w:spacing w:val="0"/>
      <w:w w:val="100"/>
      <w:kern w:val="0"/>
      <w:position w:val="0"/>
      <w:sz w:val="24"/>
      <w:szCs w:val="24"/>
      <w:u w:val="none" w:color="auto"/>
      <w:vertAlign w:val="baseline"/>
    </w:rPr>
  </w:style>
  <w:style w:type="paragraph" w:customStyle="1" w:styleId="13">
    <w:name w:val="页脚1"/>
    <w:qFormat/>
    <w:uiPriority w:val="0"/>
    <w:pPr>
      <w:keepNext w:val="0"/>
      <w:keepLines w:val="0"/>
      <w:pageBreakBefore w:val="0"/>
      <w:framePr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tabs>
        <w:tab w:val="center" w:pos="4153"/>
        <w:tab w:val="right" w:pos="8306"/>
      </w:tabs>
      <w:suppressAutoHyphens w:val="0"/>
      <w:bidi w:val="0"/>
      <w:spacing w:before="0" w:beforeAutospacing="0" w:after="0" w:afterAutospacing="0" w:line="240" w:lineRule="auto"/>
      <w:ind w:left="0" w:right="0" w:firstLine="0"/>
      <w:jc w:val="left"/>
      <w:outlineLvl w:val="9"/>
    </w:pPr>
    <w:rPr>
      <w:rFonts w:hint="default" w:ascii="Times New Roman" w:hAnsi="Times New Roman" w:eastAsia="Arial Unicode MS" w:cs="Arial Unicode MS"/>
      <w:color w:val="000000"/>
      <w:spacing w:val="0"/>
      <w:w w:val="100"/>
      <w:kern w:val="2"/>
      <w:position w:val="0"/>
      <w:sz w:val="18"/>
      <w:szCs w:val="18"/>
      <w:u w:val="none" w:color="000000"/>
      <w:vertAlign w:val="baseline"/>
      <w:lang w:val="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4286</Words>
  <Characters>4525</Characters>
  <Lines>0</Lines>
  <Paragraphs>0</Paragraphs>
  <TotalTime>3</TotalTime>
  <ScaleCrop>false</ScaleCrop>
  <LinksUpToDate>false</LinksUpToDate>
  <CharactersWithSpaces>4628</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2025-03-18T01:31:00Z</dcterms:created>
  <dc:creator>7girl</dc:creator>
  <cp:lastModifiedBy>WPS_1746685644</cp:lastModifiedBy>
  <dcterms:modified xsi:type="dcterms:W3CDTF">2025-05-08T07:46:13Z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C9CF57C3777446CCBEBACAADF3ED75B1_13</vt:lpwstr>
  </property>
  <property fmtid="{D5CDD505-2E9C-101B-9397-08002B2CF9AE}" pid="4" name="KSOTemplateDocerSaveRecord">
    <vt:lpwstr>eyJoZGlkIjoiNGNkNzQxMzAxMTM3ZDU0MDhjNjAxOTU5ODhkYmUzYjciLCJ1c2VySWQiOiIxNjk4Mjc1NTU1In0=</vt:lpwstr>
  </property>
</Properties>
</file>