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519D0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cs="Times New Roman"/>
          <w:color w:val="000000"/>
          <w:spacing w:val="-20"/>
          <w:sz w:val="44"/>
          <w:szCs w:val="44"/>
          <w:lang w:val="en-US" w:eastAsia="zh-CN"/>
        </w:rPr>
      </w:pPr>
      <w:r>
        <w:rPr>
          <w:rFonts w:hint="eastAsia" w:ascii="方正小标宋简体" w:hAnsi="黑体" w:eastAsia="方正小标宋简体" w:cs="Times New Roman"/>
          <w:color w:val="000000"/>
          <w:spacing w:val="-20"/>
          <w:sz w:val="44"/>
          <w:szCs w:val="44"/>
          <w:lang w:val="en-US" w:eastAsia="zh-CN"/>
        </w:rPr>
        <w:t>宁波鄞州银行公益基金会</w:t>
      </w:r>
    </w:p>
    <w:p w14:paraId="6F503EF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cs="Times New Roman"/>
          <w:color w:val="000000"/>
          <w:spacing w:val="-20"/>
          <w:sz w:val="44"/>
          <w:szCs w:val="44"/>
          <w:lang w:val="en-US" w:eastAsia="zh-CN"/>
        </w:rPr>
      </w:pPr>
      <w:r>
        <w:rPr>
          <w:rFonts w:hint="eastAsia" w:ascii="方正小标宋简体" w:hAnsi="黑体" w:eastAsia="方正小标宋简体" w:cs="Times New Roman"/>
          <w:color w:val="000000"/>
          <w:spacing w:val="-20"/>
          <w:sz w:val="44"/>
          <w:szCs w:val="44"/>
          <w:lang w:val="en-US" w:eastAsia="zh-CN"/>
        </w:rPr>
        <w:t>资金保值增值投资活动管理办法</w:t>
      </w:r>
    </w:p>
    <w:p w14:paraId="07B10A0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修订稿</w:t>
      </w:r>
      <w:r>
        <w:rPr>
          <w:rFonts w:hint="eastAsia" w:ascii="仿宋" w:hAnsi="仿宋" w:eastAsia="仿宋" w:cs="仿宋"/>
          <w:sz w:val="32"/>
          <w:szCs w:val="32"/>
        </w:rPr>
        <w:t>）</w:t>
      </w:r>
    </w:p>
    <w:p w14:paraId="7D56C51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rPr>
      </w:pPr>
    </w:p>
    <w:p w14:paraId="3B10CC75">
      <w:pPr>
        <w:keepNext w:val="0"/>
        <w:keepLines w:val="0"/>
        <w:pageBreakBefore w:val="0"/>
        <w:widowControl/>
        <w:suppressLineNumbers w:val="0"/>
        <w:kinsoku/>
        <w:wordWrap/>
        <w:overflowPunct/>
        <w:topLinePunct w:val="0"/>
        <w:autoSpaceDE/>
        <w:autoSpaceDN/>
        <w:bidi w:val="0"/>
        <w:adjustRightInd/>
        <w:snapToGrid/>
        <w:spacing w:line="540" w:lineRule="atLeas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第一章 总则</w:t>
      </w:r>
    </w:p>
    <w:p w14:paraId="35B7158C">
      <w:pPr>
        <w:keepNext w:val="0"/>
        <w:keepLines w:val="0"/>
        <w:pageBreakBefore w:val="0"/>
        <w:widowControl/>
        <w:suppressLineNumbers w:val="0"/>
        <w:kinsoku/>
        <w:wordWrap/>
        <w:overflowPunct/>
        <w:topLinePunct w:val="0"/>
        <w:autoSpaceDE/>
        <w:autoSpaceDN/>
        <w:bidi w:val="0"/>
        <w:adjustRightInd/>
        <w:snapToGrid/>
        <w:spacing w:line="540" w:lineRule="atLeas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第一条</w:t>
      </w:r>
      <w:r>
        <w:rPr>
          <w:rFonts w:hint="eastAsia" w:ascii="仿宋" w:hAnsi="仿宋" w:eastAsia="仿宋" w:cs="仿宋"/>
          <w:sz w:val="32"/>
          <w:szCs w:val="32"/>
          <w:lang w:val="en-US" w:eastAsia="zh-CN"/>
        </w:rPr>
        <w:t xml:space="preserve"> 为规范宁波鄞州银行公益基金会（以下简称：基金会或本基金会）的资金保值增值投资活动，防范慈善财产运用风险，促进慈善组织持续健康发展，根据《中华人民共和国慈善法》《慈善组织保值增值投资活动管理暂行办法》和《宁波鄞州银行公益基金会章程》（以下简称：《章程》）等法律法规，制定本办法。</w:t>
      </w:r>
    </w:p>
    <w:p w14:paraId="742BF915">
      <w:pPr>
        <w:keepNext w:val="0"/>
        <w:keepLines w:val="0"/>
        <w:pageBreakBefore w:val="0"/>
        <w:widowControl/>
        <w:suppressLineNumbers w:val="0"/>
        <w:kinsoku/>
        <w:wordWrap/>
        <w:overflowPunct/>
        <w:topLinePunct w:val="0"/>
        <w:autoSpaceDE/>
        <w:autoSpaceDN/>
        <w:bidi w:val="0"/>
        <w:adjustRightInd/>
        <w:snapToGrid/>
        <w:spacing w:line="540" w:lineRule="atLeas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第二条</w:t>
      </w:r>
      <w:r>
        <w:rPr>
          <w:rFonts w:hint="eastAsia" w:ascii="仿宋" w:hAnsi="仿宋" w:eastAsia="仿宋" w:cs="仿宋"/>
          <w:sz w:val="32"/>
          <w:szCs w:val="32"/>
          <w:lang w:val="en-US" w:eastAsia="zh-CN"/>
        </w:rPr>
        <w:t xml:space="preserve"> 本基金会应当以面向社会开展慈善活动为宗旨，充分、高效运用慈善财产，在确保年度慈善活动支出符合法定要求和捐赠财产及时足额拨付的前提下开展资金保值增值投资活动。</w:t>
      </w:r>
    </w:p>
    <w:p w14:paraId="1C4C48D0">
      <w:pPr>
        <w:keepNext w:val="0"/>
        <w:keepLines w:val="0"/>
        <w:pageBreakBefore w:val="0"/>
        <w:widowControl/>
        <w:suppressLineNumbers w:val="0"/>
        <w:kinsoku/>
        <w:wordWrap/>
        <w:overflowPunct/>
        <w:topLinePunct w:val="0"/>
        <w:autoSpaceDE/>
        <w:autoSpaceDN/>
        <w:bidi w:val="0"/>
        <w:adjustRightInd/>
        <w:snapToGrid/>
        <w:spacing w:line="540" w:lineRule="atLeas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第三条</w:t>
      </w:r>
      <w:r>
        <w:rPr>
          <w:rFonts w:hint="eastAsia" w:ascii="仿宋" w:hAnsi="仿宋" w:eastAsia="仿宋" w:cs="仿宋"/>
          <w:sz w:val="32"/>
          <w:szCs w:val="32"/>
          <w:lang w:val="en-US" w:eastAsia="zh-CN"/>
        </w:rPr>
        <w:t xml:space="preserve"> 本办法所称资金保值增值投资活动，主要包括下列投资活动实现：</w:t>
      </w:r>
    </w:p>
    <w:p w14:paraId="00192DF7">
      <w:pPr>
        <w:keepNext w:val="0"/>
        <w:keepLines w:val="0"/>
        <w:pageBreakBefore w:val="0"/>
        <w:widowControl/>
        <w:suppressLineNumbers w:val="0"/>
        <w:kinsoku/>
        <w:wordWrap/>
        <w:overflowPunct/>
        <w:topLinePunct w:val="0"/>
        <w:autoSpaceDE/>
        <w:autoSpaceDN/>
        <w:bidi w:val="0"/>
        <w:adjustRightInd/>
        <w:snapToGrid/>
        <w:spacing w:line="54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（一）直接购买银行、信托、证券、基金、期货、保险资产管理机构、金融资产投资公司等金融机构发行的资产管理产品；</w:t>
      </w:r>
    </w:p>
    <w:p w14:paraId="5CC19ED6">
      <w:pPr>
        <w:keepNext w:val="0"/>
        <w:keepLines w:val="0"/>
        <w:pageBreakBefore w:val="0"/>
        <w:widowControl/>
        <w:suppressLineNumbers w:val="0"/>
        <w:kinsoku/>
        <w:wordWrap/>
        <w:overflowPunct/>
        <w:topLinePunct w:val="0"/>
        <w:autoSpaceDE/>
        <w:autoSpaceDN/>
        <w:bidi w:val="0"/>
        <w:adjustRightInd/>
        <w:snapToGrid/>
        <w:spacing w:line="54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（二）通过发起设立、并购、参股等方式直接进行股权投资；</w:t>
      </w:r>
    </w:p>
    <w:p w14:paraId="2769906C">
      <w:pPr>
        <w:keepNext w:val="0"/>
        <w:keepLines w:val="0"/>
        <w:pageBreakBefore w:val="0"/>
        <w:widowControl/>
        <w:suppressLineNumbers w:val="0"/>
        <w:kinsoku/>
        <w:wordWrap/>
        <w:overflowPunct/>
        <w:topLinePunct w:val="0"/>
        <w:autoSpaceDE/>
        <w:autoSpaceDN/>
        <w:bidi w:val="0"/>
        <w:adjustRightInd/>
        <w:snapToGrid/>
        <w:spacing w:line="54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（三）将财产委托给受金融监督管理部门监管的机构进行投资。</w:t>
      </w:r>
    </w:p>
    <w:p w14:paraId="5D25DD06">
      <w:pPr>
        <w:keepNext w:val="0"/>
        <w:keepLines w:val="0"/>
        <w:pageBreakBefore w:val="0"/>
        <w:widowControl/>
        <w:suppressLineNumbers w:val="0"/>
        <w:kinsoku/>
        <w:wordWrap/>
        <w:overflowPunct/>
        <w:topLinePunct w:val="0"/>
        <w:autoSpaceDE/>
        <w:autoSpaceDN/>
        <w:bidi w:val="0"/>
        <w:adjustRightInd/>
        <w:snapToGrid/>
        <w:spacing w:line="540" w:lineRule="atLeas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第四条</w:t>
      </w:r>
      <w:r>
        <w:rPr>
          <w:rFonts w:hint="eastAsia" w:ascii="仿宋" w:hAnsi="仿宋" w:eastAsia="仿宋" w:cs="仿宋"/>
          <w:sz w:val="32"/>
          <w:szCs w:val="32"/>
          <w:lang w:val="en-US" w:eastAsia="zh-CN"/>
        </w:rPr>
        <w:t xml:space="preserve"> 本基金会可以用于投资的资金限于非限定性资金和在投资期间暂不需要拨付的限定性资金。本基金会接受捐赠的资金如果涉及不得用于投资的协议，则该部分资金不得用于投资。</w:t>
      </w:r>
    </w:p>
    <w:p w14:paraId="262F5D99">
      <w:pPr>
        <w:keepNext w:val="0"/>
        <w:keepLines w:val="0"/>
        <w:pageBreakBefore w:val="0"/>
        <w:widowControl/>
        <w:suppressLineNumbers w:val="0"/>
        <w:kinsoku/>
        <w:wordWrap/>
        <w:overflowPunct/>
        <w:topLinePunct w:val="0"/>
        <w:autoSpaceDE/>
        <w:autoSpaceDN/>
        <w:bidi w:val="0"/>
        <w:adjustRightInd/>
        <w:snapToGrid/>
        <w:spacing w:line="540" w:lineRule="atLeast"/>
        <w:ind w:firstLine="640" w:firstLineChars="2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第五条</w:t>
      </w:r>
      <w:r>
        <w:rPr>
          <w:rFonts w:hint="eastAsia" w:ascii="仿宋" w:hAnsi="仿宋" w:eastAsia="仿宋" w:cs="仿宋"/>
          <w:sz w:val="32"/>
          <w:szCs w:val="32"/>
          <w:lang w:val="en-US" w:eastAsia="zh-CN"/>
        </w:rPr>
        <w:t xml:space="preserve"> 本基金会开展投资活动应遵循合法、安全、有效的原则，取得的收益应依法用于慈善目的。其中经批准的超额收益部分可用于设立风险拨备等用途。</w:t>
      </w:r>
    </w:p>
    <w:p w14:paraId="16253E78">
      <w:pPr>
        <w:keepNext w:val="0"/>
        <w:keepLines w:val="0"/>
        <w:pageBreakBefore w:val="0"/>
        <w:widowControl/>
        <w:suppressLineNumbers w:val="0"/>
        <w:kinsoku/>
        <w:wordWrap/>
        <w:overflowPunct/>
        <w:topLinePunct w:val="0"/>
        <w:autoSpaceDE/>
        <w:autoSpaceDN/>
        <w:bidi w:val="0"/>
        <w:adjustRightInd/>
        <w:snapToGrid/>
        <w:spacing w:line="540" w:lineRule="atLeast"/>
        <w:ind w:firstLine="640" w:firstLineChars="2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第六条</w:t>
      </w:r>
      <w:r>
        <w:rPr>
          <w:rFonts w:hint="eastAsia" w:ascii="仿宋" w:hAnsi="仿宋" w:eastAsia="仿宋" w:cs="仿宋"/>
          <w:sz w:val="32"/>
          <w:szCs w:val="32"/>
          <w:lang w:val="en-US" w:eastAsia="zh-CN"/>
        </w:rPr>
        <w:t xml:space="preserve"> 本基金会的发起人、主要捐赠人、负责人、理事、理事来源单位以及其他与本基金会之间存在控制、共同控制或者重大影响关系的个人或者组织，当其利益与本基金会投资行为关联时，应当说明情况，披露相关信息，并不得利用关联关系损害本基金会利益。</w:t>
      </w:r>
    </w:p>
    <w:p w14:paraId="420BA7E7">
      <w:pPr>
        <w:keepNext w:val="0"/>
        <w:keepLines w:val="0"/>
        <w:pageBreakBefore w:val="0"/>
        <w:widowControl/>
        <w:suppressLineNumbers w:val="0"/>
        <w:kinsoku/>
        <w:wordWrap/>
        <w:overflowPunct/>
        <w:topLinePunct w:val="0"/>
        <w:autoSpaceDE/>
        <w:autoSpaceDN/>
        <w:bidi w:val="0"/>
        <w:adjustRightInd/>
        <w:snapToGrid/>
        <w:spacing w:line="540" w:lineRule="atLeast"/>
        <w:jc w:val="left"/>
        <w:textAlignment w:val="auto"/>
        <w:rPr>
          <w:rFonts w:hint="eastAsia" w:ascii="仿宋" w:hAnsi="仿宋" w:eastAsia="仿宋" w:cs="仿宋"/>
          <w:sz w:val="32"/>
          <w:szCs w:val="32"/>
          <w:lang w:val="en-US" w:eastAsia="zh-CN"/>
        </w:rPr>
      </w:pPr>
    </w:p>
    <w:p w14:paraId="1075A9C1">
      <w:pPr>
        <w:keepNext w:val="0"/>
        <w:keepLines w:val="0"/>
        <w:pageBreakBefore w:val="0"/>
        <w:widowControl/>
        <w:suppressLineNumbers w:val="0"/>
        <w:kinsoku/>
        <w:wordWrap/>
        <w:overflowPunct/>
        <w:topLinePunct w:val="0"/>
        <w:autoSpaceDE/>
        <w:autoSpaceDN/>
        <w:bidi w:val="0"/>
        <w:adjustRightInd/>
        <w:snapToGrid/>
        <w:spacing w:line="550" w:lineRule="atLeas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第二章 理事会、秘书处、财务部和监督机构的职责</w:t>
      </w:r>
    </w:p>
    <w:p w14:paraId="7259AF7A">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第七条</w:t>
      </w:r>
      <w:r>
        <w:rPr>
          <w:rFonts w:hint="eastAsia" w:ascii="仿宋" w:hAnsi="仿宋" w:eastAsia="仿宋" w:cs="仿宋"/>
          <w:sz w:val="32"/>
          <w:szCs w:val="32"/>
          <w:lang w:val="en-US" w:eastAsia="zh-CN"/>
        </w:rPr>
        <w:t xml:space="preserve"> 理事会作为投资活动决策机构，职责如下：</w:t>
      </w:r>
    </w:p>
    <w:p w14:paraId="24B70051">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（一）负责资金保值增值投资活动相关的议案、制度等的审议；</w:t>
      </w:r>
    </w:p>
    <w:p w14:paraId="63F1024D">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（二）审议年度投资计划；</w:t>
      </w:r>
    </w:p>
    <w:p w14:paraId="2F94955D">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（三）负责对财务部提交的投资方案进行决策。</w:t>
      </w:r>
    </w:p>
    <w:p w14:paraId="421435C8">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第八条</w:t>
      </w:r>
      <w:r>
        <w:rPr>
          <w:rFonts w:hint="eastAsia" w:ascii="仿宋" w:hAnsi="仿宋" w:eastAsia="仿宋" w:cs="仿宋"/>
          <w:sz w:val="32"/>
          <w:szCs w:val="32"/>
          <w:lang w:val="en-US" w:eastAsia="zh-CN"/>
        </w:rPr>
        <w:t xml:space="preserve"> 秘书处作为理事会投资活动的决策参谋机构，职责如下：</w:t>
      </w:r>
    </w:p>
    <w:p w14:paraId="74D1F872">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（一）负责组织《资金保值增值投资活动管理办法》的制定和修订；</w:t>
      </w:r>
    </w:p>
    <w:p w14:paraId="7F0B8929">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（二）负责组织审定年度投资计划;</w:t>
      </w:r>
    </w:p>
    <w:p w14:paraId="4E5E2333">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（三）负责提出与投资活动有关的议案;</w:t>
      </w:r>
    </w:p>
    <w:p w14:paraId="3F502ADA">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（四）在理事会授权下，指导财务部执行投资计划。</w:t>
      </w:r>
    </w:p>
    <w:p w14:paraId="18605806">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 xml:space="preserve">第九条 </w:t>
      </w:r>
      <w:r>
        <w:rPr>
          <w:rFonts w:hint="eastAsia" w:ascii="仿宋" w:hAnsi="仿宋" w:eastAsia="仿宋" w:cs="仿宋"/>
          <w:sz w:val="32"/>
          <w:szCs w:val="32"/>
          <w:lang w:val="en-US" w:eastAsia="zh-CN"/>
        </w:rPr>
        <w:t>财务部作为投资执行机构，职责如下：</w:t>
      </w:r>
    </w:p>
    <w:p w14:paraId="73408570">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（一）负责《资金保值增值投资活动管理办法》的起草；</w:t>
      </w:r>
    </w:p>
    <w:p w14:paraId="6C6BFF4B">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（二）负责提出并执行年度投资计划；</w:t>
      </w:r>
    </w:p>
    <w:p w14:paraId="72348274">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（三）负责提出并执行各项已通过决策的投资方案；</w:t>
      </w:r>
    </w:p>
    <w:p w14:paraId="072C9B97">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（四）在秘书长的指导下执行投资计划。</w:t>
      </w:r>
    </w:p>
    <w:p w14:paraId="5F71710F">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第十条</w:t>
      </w:r>
      <w:r>
        <w:rPr>
          <w:rFonts w:hint="eastAsia" w:ascii="仿宋" w:hAnsi="仿宋" w:eastAsia="仿宋" w:cs="仿宋"/>
          <w:sz w:val="32"/>
          <w:szCs w:val="32"/>
          <w:lang w:val="en-US" w:eastAsia="zh-CN"/>
        </w:rPr>
        <w:t xml:space="preserve"> 监事负责对本基金会投资活动进行监督。</w:t>
      </w:r>
    </w:p>
    <w:p w14:paraId="2B12EC65">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p>
    <w:p w14:paraId="55F0F050">
      <w:pPr>
        <w:keepNext w:val="0"/>
        <w:keepLines w:val="0"/>
        <w:pageBreakBefore w:val="0"/>
        <w:widowControl/>
        <w:suppressLineNumbers w:val="0"/>
        <w:kinsoku/>
        <w:wordWrap/>
        <w:overflowPunct/>
        <w:topLinePunct w:val="0"/>
        <w:autoSpaceDE/>
        <w:autoSpaceDN/>
        <w:bidi w:val="0"/>
        <w:adjustRightInd/>
        <w:snapToGrid/>
        <w:spacing w:line="550" w:lineRule="atLeas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第三章 保值增值决策程序和管理流程</w:t>
      </w:r>
    </w:p>
    <w:p w14:paraId="48DCF5DF">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第十一条</w:t>
      </w:r>
      <w:r>
        <w:rPr>
          <w:rFonts w:hint="eastAsia" w:ascii="仿宋" w:hAnsi="仿宋" w:eastAsia="仿宋" w:cs="仿宋"/>
          <w:sz w:val="32"/>
          <w:szCs w:val="32"/>
          <w:lang w:val="en-US" w:eastAsia="zh-CN"/>
        </w:rPr>
        <w:t xml:space="preserve"> 投资决策程序</w:t>
      </w:r>
    </w:p>
    <w:p w14:paraId="303EC74C">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（一）财务部根据工作权限提出保值增值项目方案，按权限逐级报审批;       </w:t>
      </w:r>
    </w:p>
    <w:p w14:paraId="6F0FE6ED">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（二）根据理事会批准的投资活动方案和审定的年度投资计划进行投资。</w:t>
      </w:r>
    </w:p>
    <w:p w14:paraId="546ACA55">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第十二条</w:t>
      </w:r>
      <w:r>
        <w:rPr>
          <w:rFonts w:hint="eastAsia" w:ascii="仿宋" w:hAnsi="仿宋" w:eastAsia="仿宋" w:cs="仿宋"/>
          <w:sz w:val="32"/>
          <w:szCs w:val="32"/>
          <w:lang w:val="en-US" w:eastAsia="zh-CN"/>
        </w:rPr>
        <w:t xml:space="preserve"> 投资管理流程</w:t>
      </w:r>
    </w:p>
    <w:p w14:paraId="46DDA2EA">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（一）对投资项目进行市场调研、项目筛选、测算评估，为投资决策提供依据；</w:t>
      </w:r>
    </w:p>
    <w:p w14:paraId="600365A5">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（二）对现有投资项目汇总分析，及时跟踪和监控，按时收回本金、利息、分红等应得收益。</w:t>
      </w:r>
    </w:p>
    <w:p w14:paraId="0DDCA0D6">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（三）对投资项目建立专项档案，完整保存投资的决策、执行、管理等资料。</w:t>
      </w:r>
    </w:p>
    <w:p w14:paraId="03A16504">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p>
    <w:p w14:paraId="4B75AABF">
      <w:pPr>
        <w:keepNext w:val="0"/>
        <w:keepLines w:val="0"/>
        <w:pageBreakBefore w:val="0"/>
        <w:widowControl/>
        <w:suppressLineNumbers w:val="0"/>
        <w:kinsoku/>
        <w:wordWrap/>
        <w:overflowPunct/>
        <w:topLinePunct w:val="0"/>
        <w:autoSpaceDE/>
        <w:autoSpaceDN/>
        <w:bidi w:val="0"/>
        <w:adjustRightInd/>
        <w:snapToGrid/>
        <w:spacing w:line="550" w:lineRule="atLeas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第四章 重大投资标准及负面清单</w:t>
      </w:r>
    </w:p>
    <w:p w14:paraId="4BF5D3B0">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第十三条</w:t>
      </w:r>
      <w:r>
        <w:rPr>
          <w:rFonts w:hint="eastAsia" w:ascii="仿宋" w:hAnsi="仿宋" w:eastAsia="仿宋" w:cs="仿宋"/>
          <w:sz w:val="32"/>
          <w:szCs w:val="32"/>
          <w:lang w:val="en-US" w:eastAsia="zh-CN"/>
        </w:rPr>
        <w:t xml:space="preserve"> 重大投资标准</w:t>
      </w:r>
    </w:p>
    <w:p w14:paraId="773B6EF2">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根据《章程》第三十六条规定，本基金会的重大投资活动是指：</w:t>
      </w:r>
    </w:p>
    <w:p w14:paraId="599E9F00">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（一）年度投资计划； </w:t>
      </w:r>
    </w:p>
    <w:p w14:paraId="377A0F15">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（二）年度投资计划之外的，人民币500万元（含）以上的保值增值活动； </w:t>
      </w:r>
    </w:p>
    <w:p w14:paraId="5C231652">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（三）金额在上年末基金余额10％以上的投资活动。</w:t>
      </w:r>
    </w:p>
    <w:p w14:paraId="6BDF241F">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第十四条</w:t>
      </w:r>
      <w:r>
        <w:rPr>
          <w:rFonts w:hint="eastAsia" w:ascii="仿宋" w:hAnsi="仿宋" w:eastAsia="仿宋" w:cs="仿宋"/>
          <w:sz w:val="32"/>
          <w:szCs w:val="32"/>
          <w:lang w:val="en-US" w:eastAsia="zh-CN"/>
        </w:rPr>
        <w:t xml:space="preserve"> 本基金会不得进行下列投资活动。</w:t>
      </w:r>
    </w:p>
    <w:p w14:paraId="2EA8BDFC">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（一）直接买卖股票；</w:t>
      </w:r>
    </w:p>
    <w:p w14:paraId="5A575817">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（二）直接购买商品及金融衍生品类产品；</w:t>
      </w:r>
    </w:p>
    <w:p w14:paraId="0EBA86DB">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（三）投资人身保险产品；</w:t>
      </w:r>
    </w:p>
    <w:p w14:paraId="01161853">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（四）以投资名义向个人、企业提供借款；</w:t>
      </w:r>
    </w:p>
    <w:p w14:paraId="54B3C5EB">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（五）不符合国家产业政策的投资；</w:t>
      </w:r>
    </w:p>
    <w:p w14:paraId="3D4DE5AA">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（六）可能使本组织承担无限责任的投资；</w:t>
      </w:r>
    </w:p>
    <w:p w14:paraId="7153F35C">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（七）违背本组织宗旨、可能损害信誉的投资；</w:t>
      </w:r>
    </w:p>
    <w:p w14:paraId="473AE453">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（八）非法集资等国家法律法规禁止的其他活动。</w:t>
      </w:r>
    </w:p>
    <w:p w14:paraId="70D20634">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p>
    <w:p w14:paraId="237FBF9D">
      <w:pPr>
        <w:keepNext w:val="0"/>
        <w:keepLines w:val="0"/>
        <w:pageBreakBefore w:val="0"/>
        <w:widowControl/>
        <w:suppressLineNumbers w:val="0"/>
        <w:kinsoku/>
        <w:wordWrap/>
        <w:overflowPunct/>
        <w:topLinePunct w:val="0"/>
        <w:autoSpaceDE/>
        <w:autoSpaceDN/>
        <w:bidi w:val="0"/>
        <w:adjustRightInd/>
        <w:snapToGrid/>
        <w:spacing w:line="550" w:lineRule="atLeas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第五章 投资收益目标管理、风险管控及止损机制</w:t>
      </w:r>
    </w:p>
    <w:p w14:paraId="03A1EC9F">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楷体" w:hAnsi="楷体" w:eastAsia="楷体" w:cs="楷体"/>
          <w:sz w:val="32"/>
          <w:szCs w:val="32"/>
          <w:lang w:val="en-US" w:eastAsia="zh-CN"/>
        </w:rPr>
        <w:t>第十五条</w:t>
      </w:r>
      <w:r>
        <w:rPr>
          <w:rFonts w:hint="eastAsia" w:ascii="仿宋" w:hAnsi="仿宋" w:eastAsia="仿宋" w:cs="仿宋"/>
          <w:sz w:val="32"/>
          <w:szCs w:val="32"/>
          <w:lang w:val="en-US" w:eastAsia="zh-CN"/>
        </w:rPr>
        <w:t xml:space="preserve"> 投资收益目标管理与使用原则：</w:t>
      </w:r>
    </w:p>
    <w:p w14:paraId="0308DD45">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（一）投资收益目标结合同期银行利率及行业投资收益率、本基金会前三年投资平均收益率为参数，年度投资收益目标由财务部提出，经理事会审议后执行；</w:t>
      </w:r>
    </w:p>
    <w:p w14:paraId="6F4F810E">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（二）达到投资收益目标部分为基金会基本收入，列入基金会年度投资收益;</w:t>
      </w:r>
    </w:p>
    <w:p w14:paraId="4E762566">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（三）超过投资收益目标部分用于跟基金会投资活动相关的成本支出，具体使用与管理须符合基金会相关财务制度要求。</w:t>
      </w:r>
    </w:p>
    <w:p w14:paraId="15B18876">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第十六条</w:t>
      </w:r>
      <w:r>
        <w:rPr>
          <w:rFonts w:hint="eastAsia" w:ascii="仿宋" w:hAnsi="仿宋" w:eastAsia="仿宋" w:cs="仿宋"/>
          <w:sz w:val="32"/>
          <w:szCs w:val="32"/>
          <w:lang w:val="en-US" w:eastAsia="zh-CN"/>
        </w:rPr>
        <w:t xml:space="preserve"> 投资风险管控制度:</w:t>
      </w:r>
    </w:p>
    <w:p w14:paraId="23B64FCA">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（一）投资资金管理产品时，应当审慎选择，购买与本基金会风险识别能力和风险承担能力相匹配的产品。</w:t>
      </w:r>
    </w:p>
    <w:p w14:paraId="2C5B4302">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直接进行股权投资的，被投资方的经营范围应当与本基金会的宗旨和业务范围相关。</w:t>
      </w:r>
    </w:p>
    <w:p w14:paraId="7C8D68D1">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开展委托保值增值的，应当选择中国境内有资质从事投资管理业务，且管理审慎、信誉较高的机构。</w:t>
      </w:r>
    </w:p>
    <w:p w14:paraId="303B5711">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（二）保值增值项目的合作机构应选择信誉良好的金融机构合作，规避金融机构信用风险；</w:t>
      </w:r>
    </w:p>
    <w:p w14:paraId="3F3338D0">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（三）委托单个管理人管理的资产的比例原则上不得高于基金会净资产的60%，经理事会2/3表决通过的除外；</w:t>
      </w:r>
    </w:p>
    <w:p w14:paraId="243423B1">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为维护基金会正常运转，弥补因市场因素导致的不可预见风险带来的投资损失，基金会每年按投资总额的1%计提风险准备金，计提的风险准备金超过投资风险敞口的10%时，可停止计提。若出现已实际发生的风险事件，则应确保风险准备金金余额不低于该风险所对应潜在损失的20%。</w:t>
      </w:r>
    </w:p>
    <w:p w14:paraId="5D7EC0F7">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第十七条</w:t>
      </w:r>
      <w:r>
        <w:rPr>
          <w:rFonts w:hint="eastAsia" w:ascii="仿宋" w:hAnsi="仿宋" w:eastAsia="仿宋" w:cs="仿宋"/>
          <w:sz w:val="32"/>
          <w:szCs w:val="32"/>
          <w:lang w:val="en-US" w:eastAsia="zh-CN"/>
        </w:rPr>
        <w:t xml:space="preserve"> 投资活动中止、终止或者退出机制。</w:t>
      </w:r>
    </w:p>
    <w:p w14:paraId="1528024C">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投资过程中出现下列情形的，应中止、终止或退出，确保投资风险可控：</w:t>
      </w:r>
    </w:p>
    <w:p w14:paraId="71A024A0">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（一）项目期限届满的；</w:t>
      </w:r>
    </w:p>
    <w:p w14:paraId="6E6686D7">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（二）遇国家金融政策出现重大调整并影响到本基金会保值增值活动的正常运作，或市场发生极端重大变动或突发性事件等情形；</w:t>
      </w:r>
    </w:p>
    <w:p w14:paraId="316316A3">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（三）其他应当中止、终止或退出的情形。</w:t>
      </w:r>
    </w:p>
    <w:p w14:paraId="3A1AC28F">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p>
    <w:p w14:paraId="0A4EBFC9">
      <w:pPr>
        <w:keepNext w:val="0"/>
        <w:keepLines w:val="0"/>
        <w:pageBreakBefore w:val="0"/>
        <w:widowControl/>
        <w:suppressLineNumbers w:val="0"/>
        <w:kinsoku/>
        <w:wordWrap/>
        <w:overflowPunct/>
        <w:topLinePunct w:val="0"/>
        <w:autoSpaceDE/>
        <w:autoSpaceDN/>
        <w:bidi w:val="0"/>
        <w:adjustRightInd/>
        <w:snapToGrid/>
        <w:spacing w:line="550" w:lineRule="atLeast"/>
        <w:jc w:val="center"/>
        <w:textAlignment w:val="auto"/>
        <w:rPr>
          <w:rFonts w:hint="eastAsia" w:ascii="仿宋" w:hAnsi="仿宋" w:eastAsia="仿宋" w:cs="仿宋"/>
          <w:sz w:val="32"/>
          <w:szCs w:val="32"/>
          <w:lang w:val="en-US" w:eastAsia="zh-CN"/>
        </w:rPr>
      </w:pPr>
      <w:r>
        <w:rPr>
          <w:rFonts w:hint="eastAsia" w:ascii="黑体" w:hAnsi="黑体" w:eastAsia="黑体" w:cs="黑体"/>
          <w:sz w:val="32"/>
          <w:szCs w:val="32"/>
          <w:lang w:val="en-US" w:eastAsia="zh-CN"/>
        </w:rPr>
        <w:t>第六章 保值增值资产处置</w:t>
      </w:r>
    </w:p>
    <w:p w14:paraId="4704FF8C">
      <w:pPr>
        <w:keepNext w:val="0"/>
        <w:keepLines w:val="0"/>
        <w:pageBreakBefore w:val="0"/>
        <w:widowControl/>
        <w:suppressLineNumbers w:val="0"/>
        <w:kinsoku/>
        <w:wordWrap/>
        <w:overflowPunct/>
        <w:topLinePunct w:val="0"/>
        <w:autoSpaceDE/>
        <w:autoSpaceDN/>
        <w:bidi w:val="0"/>
        <w:adjustRightInd/>
        <w:snapToGrid/>
        <w:spacing w:line="550" w:lineRule="atLeas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第十八条</w:t>
      </w:r>
      <w:r>
        <w:rPr>
          <w:rFonts w:hint="eastAsia" w:ascii="仿宋" w:hAnsi="仿宋" w:eastAsia="仿宋" w:cs="仿宋"/>
          <w:sz w:val="32"/>
          <w:szCs w:val="32"/>
          <w:lang w:val="en-US" w:eastAsia="zh-CN"/>
        </w:rPr>
        <w:t xml:space="preserve"> 投资资金处置按照本办法第十一条投资决策程序执行，必要时可聘请第三方专业机构协助完成。</w:t>
      </w:r>
    </w:p>
    <w:p w14:paraId="29B47574">
      <w:pPr>
        <w:keepNext w:val="0"/>
        <w:keepLines w:val="0"/>
        <w:pageBreakBefore w:val="0"/>
        <w:widowControl/>
        <w:suppressLineNumbers w:val="0"/>
        <w:kinsoku/>
        <w:wordWrap/>
        <w:overflowPunct/>
        <w:topLinePunct w:val="0"/>
        <w:autoSpaceDE/>
        <w:autoSpaceDN/>
        <w:bidi w:val="0"/>
        <w:adjustRightInd/>
        <w:snapToGrid/>
        <w:spacing w:line="540" w:lineRule="atLeast"/>
        <w:ind w:firstLine="640" w:firstLineChars="200"/>
        <w:jc w:val="left"/>
        <w:textAlignment w:val="auto"/>
        <w:rPr>
          <w:rFonts w:hint="eastAsia" w:ascii="仿宋" w:hAnsi="仿宋" w:eastAsia="仿宋" w:cs="仿宋"/>
          <w:sz w:val="32"/>
          <w:szCs w:val="32"/>
          <w:lang w:val="en-US" w:eastAsia="zh-CN"/>
        </w:rPr>
      </w:pPr>
    </w:p>
    <w:p w14:paraId="0DE75017">
      <w:pPr>
        <w:keepNext w:val="0"/>
        <w:keepLines w:val="0"/>
        <w:pageBreakBefore w:val="0"/>
        <w:widowControl/>
        <w:suppressLineNumbers w:val="0"/>
        <w:kinsoku/>
        <w:wordWrap/>
        <w:overflowPunct/>
        <w:topLinePunct w:val="0"/>
        <w:autoSpaceDE/>
        <w:autoSpaceDN/>
        <w:bidi w:val="0"/>
        <w:adjustRightInd/>
        <w:snapToGrid/>
        <w:spacing w:line="540" w:lineRule="atLeas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第七章 管理责任</w:t>
      </w:r>
    </w:p>
    <w:p w14:paraId="12BDB34F">
      <w:pPr>
        <w:keepNext w:val="0"/>
        <w:keepLines w:val="0"/>
        <w:pageBreakBefore w:val="0"/>
        <w:widowControl/>
        <w:suppressLineNumbers w:val="0"/>
        <w:kinsoku/>
        <w:wordWrap/>
        <w:overflowPunct/>
        <w:topLinePunct w:val="0"/>
        <w:autoSpaceDE/>
        <w:autoSpaceDN/>
        <w:bidi w:val="0"/>
        <w:adjustRightInd/>
        <w:snapToGrid/>
        <w:spacing w:line="540" w:lineRule="atLeas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第十九条</w:t>
      </w:r>
      <w:r>
        <w:rPr>
          <w:rFonts w:hint="eastAsia" w:ascii="仿宋" w:hAnsi="仿宋" w:eastAsia="仿宋" w:cs="仿宋"/>
          <w:sz w:val="32"/>
          <w:szCs w:val="32"/>
          <w:lang w:val="en-US" w:eastAsia="zh-CN"/>
        </w:rPr>
        <w:t xml:space="preserve"> 在开展投资活动时，理事会、秘书处、财务部成员及监事均应当遵守法律法规和本组织章程的规定，严格履行忠实、谨慎、勤勉义务。在开展投资活动时因上述人员违法违规行为而导致本基金会财产损失的，相关人员应当承担相应责任。</w:t>
      </w:r>
    </w:p>
    <w:p w14:paraId="5EE1ECDF">
      <w:pPr>
        <w:keepNext w:val="0"/>
        <w:keepLines w:val="0"/>
        <w:pageBreakBefore w:val="0"/>
        <w:widowControl/>
        <w:suppressLineNumbers w:val="0"/>
        <w:kinsoku/>
        <w:wordWrap/>
        <w:overflowPunct/>
        <w:topLinePunct w:val="0"/>
        <w:autoSpaceDE/>
        <w:autoSpaceDN/>
        <w:bidi w:val="0"/>
        <w:adjustRightInd/>
        <w:snapToGrid/>
        <w:spacing w:line="540" w:lineRule="atLeas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第二十条</w:t>
      </w:r>
      <w:r>
        <w:rPr>
          <w:rFonts w:hint="eastAsia" w:ascii="仿宋" w:hAnsi="仿宋" w:eastAsia="仿宋" w:cs="仿宋"/>
          <w:sz w:val="32"/>
          <w:szCs w:val="32"/>
          <w:lang w:val="en-US" w:eastAsia="zh-CN"/>
        </w:rPr>
        <w:t xml:space="preserve"> 本基金会的负责人和工作人员不得在本基金会投资的企业兼职或者领取报酬，但受本基金会委托可以作为股东代表、董事或者监事参与被投资企业的股东会、董事会。</w:t>
      </w:r>
    </w:p>
    <w:p w14:paraId="6BF5E663">
      <w:pPr>
        <w:keepNext w:val="0"/>
        <w:keepLines w:val="0"/>
        <w:pageBreakBefore w:val="0"/>
        <w:widowControl/>
        <w:suppressLineNumbers w:val="0"/>
        <w:kinsoku/>
        <w:wordWrap/>
        <w:overflowPunct/>
        <w:topLinePunct w:val="0"/>
        <w:autoSpaceDE/>
        <w:autoSpaceDN/>
        <w:bidi w:val="0"/>
        <w:adjustRightInd/>
        <w:snapToGrid/>
        <w:spacing w:line="540" w:lineRule="atLeas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第二十一条</w:t>
      </w:r>
      <w:r>
        <w:rPr>
          <w:rFonts w:hint="eastAsia" w:ascii="仿宋" w:hAnsi="仿宋" w:eastAsia="仿宋" w:cs="仿宋"/>
          <w:sz w:val="32"/>
          <w:szCs w:val="32"/>
          <w:lang w:val="en-US" w:eastAsia="zh-CN"/>
        </w:rPr>
        <w:t xml:space="preserve"> 本基金会的重大投资情况应当依法依规向社会公开，接受社会监督。</w:t>
      </w:r>
    </w:p>
    <w:p w14:paraId="5AA1A2DE">
      <w:pPr>
        <w:keepNext w:val="0"/>
        <w:keepLines w:val="0"/>
        <w:pageBreakBefore w:val="0"/>
        <w:widowControl/>
        <w:suppressLineNumbers w:val="0"/>
        <w:kinsoku/>
        <w:wordWrap/>
        <w:overflowPunct/>
        <w:topLinePunct w:val="0"/>
        <w:autoSpaceDE/>
        <w:autoSpaceDN/>
        <w:bidi w:val="0"/>
        <w:adjustRightInd/>
        <w:snapToGrid/>
        <w:spacing w:line="540" w:lineRule="atLeast"/>
        <w:ind w:firstLine="640" w:firstLineChars="200"/>
        <w:jc w:val="left"/>
        <w:textAlignment w:val="auto"/>
        <w:rPr>
          <w:rFonts w:hint="eastAsia" w:ascii="仿宋" w:hAnsi="仿宋" w:eastAsia="仿宋" w:cs="仿宋"/>
          <w:sz w:val="32"/>
          <w:szCs w:val="32"/>
          <w:lang w:val="en-US" w:eastAsia="zh-CN"/>
        </w:rPr>
      </w:pPr>
    </w:p>
    <w:p w14:paraId="42D32153">
      <w:pPr>
        <w:keepNext w:val="0"/>
        <w:keepLines w:val="0"/>
        <w:pageBreakBefore w:val="0"/>
        <w:widowControl/>
        <w:suppressLineNumbers w:val="0"/>
        <w:kinsoku/>
        <w:wordWrap/>
        <w:overflowPunct/>
        <w:topLinePunct w:val="0"/>
        <w:autoSpaceDE/>
        <w:autoSpaceDN/>
        <w:bidi w:val="0"/>
        <w:adjustRightInd/>
        <w:snapToGrid/>
        <w:spacing w:line="540" w:lineRule="atLeas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第八章 附则</w:t>
      </w:r>
    </w:p>
    <w:p w14:paraId="558B4CF8">
      <w:pPr>
        <w:keepNext w:val="0"/>
        <w:keepLines w:val="0"/>
        <w:pageBreakBefore w:val="0"/>
        <w:widowControl/>
        <w:suppressLineNumbers w:val="0"/>
        <w:kinsoku/>
        <w:wordWrap/>
        <w:overflowPunct/>
        <w:topLinePunct w:val="0"/>
        <w:autoSpaceDE/>
        <w:autoSpaceDN/>
        <w:bidi w:val="0"/>
        <w:adjustRightInd/>
        <w:snapToGrid/>
        <w:spacing w:line="540" w:lineRule="atLeas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第二十二条</w:t>
      </w:r>
      <w:r>
        <w:rPr>
          <w:rFonts w:hint="eastAsia" w:ascii="仿宋" w:hAnsi="仿宋" w:eastAsia="仿宋" w:cs="仿宋"/>
          <w:sz w:val="32"/>
          <w:szCs w:val="32"/>
          <w:lang w:val="en-US" w:eastAsia="zh-CN"/>
        </w:rPr>
        <w:t xml:space="preserve"> 本办法由宁波鄞州银行公益基金会制定、修改、解释，与国家相关规定冲突的，按国家相关规定执行。</w:t>
      </w:r>
    </w:p>
    <w:p w14:paraId="7A948E2F">
      <w:pPr>
        <w:keepNext w:val="0"/>
        <w:keepLines w:val="0"/>
        <w:pageBreakBefore w:val="0"/>
        <w:widowControl/>
        <w:suppressLineNumbers w:val="0"/>
        <w:kinsoku/>
        <w:wordWrap/>
        <w:overflowPunct/>
        <w:topLinePunct w:val="0"/>
        <w:autoSpaceDE/>
        <w:autoSpaceDN/>
        <w:bidi w:val="0"/>
        <w:adjustRightInd/>
        <w:snapToGrid/>
        <w:spacing w:line="540" w:lineRule="atLeas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第二十三条</w:t>
      </w:r>
      <w:r>
        <w:rPr>
          <w:rFonts w:hint="eastAsia" w:ascii="仿宋" w:hAnsi="仿宋" w:eastAsia="仿宋" w:cs="仿宋"/>
          <w:sz w:val="32"/>
          <w:szCs w:val="32"/>
          <w:lang w:val="en-US" w:eastAsia="zh-CN"/>
        </w:rPr>
        <w:t xml:space="preserve"> 本办法自理事会审议通过后，自颁布之日起施行。 </w:t>
      </w:r>
    </w:p>
    <w:p w14:paraId="10E395A4">
      <w:pPr>
        <w:keepNext w:val="0"/>
        <w:keepLines w:val="0"/>
        <w:pageBreakBefore w:val="0"/>
        <w:widowControl/>
        <w:suppressLineNumbers w:val="0"/>
        <w:kinsoku/>
        <w:wordWrap/>
        <w:overflowPunct/>
        <w:topLinePunct w:val="0"/>
        <w:autoSpaceDE/>
        <w:autoSpaceDN/>
        <w:bidi w:val="0"/>
        <w:adjustRightInd/>
        <w:snapToGrid/>
        <w:spacing w:line="540" w:lineRule="atLeast"/>
        <w:ind w:firstLine="640" w:firstLineChars="200"/>
        <w:jc w:val="left"/>
        <w:textAlignment w:val="auto"/>
        <w:rPr>
          <w:rFonts w:hint="eastAsia" w:ascii="仿宋" w:hAnsi="仿宋" w:eastAsia="仿宋" w:cs="仿宋"/>
          <w:sz w:val="32"/>
          <w:szCs w:val="32"/>
          <w:lang w:val="en-US" w:eastAsia="zh-CN"/>
        </w:rPr>
      </w:pPr>
    </w:p>
    <w:p w14:paraId="5E101D2C">
      <w:pPr>
        <w:keepNext w:val="0"/>
        <w:keepLines w:val="0"/>
        <w:pageBreakBefore w:val="0"/>
        <w:widowControl/>
        <w:suppressLineNumbers w:val="0"/>
        <w:kinsoku/>
        <w:wordWrap/>
        <w:overflowPunct/>
        <w:topLinePunct w:val="0"/>
        <w:autoSpaceDE/>
        <w:autoSpaceDN/>
        <w:bidi w:val="0"/>
        <w:adjustRightInd/>
        <w:snapToGrid/>
        <w:spacing w:line="540" w:lineRule="atLeast"/>
        <w:ind w:firstLine="640" w:firstLineChars="200"/>
        <w:jc w:val="righ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宁波鄞州银行公益基金会   </w:t>
      </w:r>
    </w:p>
    <w:p w14:paraId="000E86C5">
      <w:pPr>
        <w:keepNext w:val="0"/>
        <w:keepLines w:val="0"/>
        <w:pageBreakBefore w:val="0"/>
        <w:widowControl/>
        <w:suppressLineNumbers w:val="0"/>
        <w:kinsoku/>
        <w:wordWrap/>
        <w:overflowPunct/>
        <w:topLinePunct w:val="0"/>
        <w:autoSpaceDE/>
        <w:autoSpaceDN/>
        <w:bidi w:val="0"/>
        <w:adjustRightInd/>
        <w:snapToGrid/>
        <w:spacing w:line="540" w:lineRule="atLeast"/>
        <w:ind w:firstLine="640" w:firstLineChars="200"/>
        <w:jc w:val="right"/>
        <w:textAlignment w:val="auto"/>
        <w:rPr>
          <w:rFonts w:hint="eastAsia"/>
          <w:lang w:val="en-US" w:eastAsia="zh-CN"/>
        </w:rPr>
      </w:pPr>
      <w:r>
        <w:rPr>
          <w:rFonts w:hint="eastAsia" w:ascii="仿宋" w:hAnsi="仿宋" w:eastAsia="仿宋" w:cs="仿宋"/>
          <w:sz w:val="32"/>
          <w:szCs w:val="32"/>
          <w:lang w:val="en-US" w:eastAsia="zh-CN"/>
        </w:rPr>
        <w:t>二〇二六年一月二十三日</w:t>
      </w:r>
    </w:p>
    <w:p w14:paraId="0E650737">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326C4C"/>
    <w:rsid w:val="60326C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楷体_GB2312" w:cs="Times New Roman"/>
      <w:kern w:val="2"/>
      <w:sz w:val="28"/>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2026-08-05T06:13:00Z</dcterms:created>
  <dc:creator>WPS_1746685644</dc:creator>
  <cp:lastModifiedBy>WPS_1746685644</cp:lastModifiedBy>
  <dcterms:modified xsi:type="dcterms:W3CDTF">2026-08-05T06:13:52Z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A91965DE84424098A6ED24AF69DB007A_11</vt:lpwstr>
  </property>
  <property fmtid="{D5CDD505-2E9C-101B-9397-08002B2CF9AE}" pid="4" name="KSOTemplateDocerSaveRecord">
    <vt:lpwstr>eyJoZGlkIjoiMjc5YTc4NzdjZjBmNjNiNzViNWM2MTBkODZjM2RkZGUiLCJ1c2VySWQiOiIxNjk4Mjc1NTU1In0=</vt:lpwstr>
  </property>
</Properties>
</file>